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7"/>
        <w:gridCol w:w="3037"/>
        <w:gridCol w:w="3340"/>
      </w:tblGrid>
      <w:tr>
        <w:tblPrEx>
          <w:shd w:val="clear" w:color="auto" w:fill="ced7e7"/>
        </w:tblPrEx>
        <w:trPr>
          <w:trHeight w:val="3546" w:hRule="atLeast"/>
        </w:trPr>
        <w:tc>
          <w:tcPr>
            <w:tcW w:type="dxa" w:w="3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  <w:lang w:val="en-US"/>
              </w:rPr>
              <w:drawing>
                <wp:inline distT="0" distB="0" distL="0" distR="0">
                  <wp:extent cx="1361982" cy="952817"/>
                  <wp:effectExtent l="0" t="0" r="0" b="0"/>
                  <wp:docPr id="1073741825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82" cy="952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/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sz w:val="25"/>
                <w:szCs w:val="25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Style w:val="Nessun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P.leMacrelli, 100 </w:t>
            </w:r>
            <w:r>
              <w:rPr>
                <w:rFonts w:ascii="Arial Unicode MS" w:cs="Arial Unicode MS" w:hAnsi="Arial Unicode MS" w:eastAsia="Arial Unicode MS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sz w:val="22"/>
                <w:szCs w:val="22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2"/>
                <w:szCs w:val="22"/>
                <w:u w:val="single"/>
                <w:rtl w:val="0"/>
                <w:lang w:val="it-IT"/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Style w:val="Nessuno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instrText xml:space="preserve"> HYPERLINK "mailto:FOIS0100L@pec.istruzione.it"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2"/>
                <w:szCs w:val="22"/>
                <w:u w:val="single"/>
                <w:rtl w:val="0"/>
                <w:lang w:val="it-IT"/>
              </w:rPr>
              <w:t>FOIS0100L@pec.istruzione.it</w:t>
            </w:r>
            <w:r>
              <w:rPr/>
              <w:fldChar w:fldCharType="end" w:fldLock="0"/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z w:val="22"/>
                <w:szCs w:val="22"/>
                <w:lang w:val="it-IT"/>
              </w:rPr>
              <w:br w:type="textWrapping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color w:val="000000"/>
                <w:u w:color="000000"/>
                <w:lang w:val="en-US"/>
              </w:rPr>
              <w:drawing>
                <wp:inline distT="0" distB="0" distL="0" distR="0">
                  <wp:extent cx="1636027" cy="885800"/>
                  <wp:effectExtent l="0" t="0" r="0" b="0"/>
                  <wp:docPr id="1073741826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41409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27" cy="885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ind w:left="108" w:hanging="108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Cesena, 19/12/ 2018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circolare 100-18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Agli alunni/e di classi quinte di entrambi i plessi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per loro tramite ai loro genitori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 tutti i docenti di classi quinte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p.c.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ufficio alunni e alla DSGA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entrambi i plessi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Oggetto: Novit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esame di stato 2018/19 ai sensi di dlgs 62/17</w:t>
      </w: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Come noto, il Dlgs 62/17, decreto attuativo sul tema riforma esami di stato della legge 107/15, ha introdotto alcune novit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importanti nella conduzione e svolgimento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esame di stato al termine del quinto anno di studi, per tutti gli ordini di scuola.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sito del Ministero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Istruzione nella sezione dedicata rende conto di tutte le novit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normative introdotte. A beneficio di alunni/e e docenti che si preparano a sostenere/condurre in commissione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esame di stato per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a.s. 18/19 si riportano nella presente circolare le principali novit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per punti.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In fondo alla circolare, si indicano i link del sito del MIUR dove accedere a: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-esempi di prima prova, con le nuove tipologie di tracce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-quadri di riferimento, nuclei fondamentali, griglie di valutazione a disposizione delle commissioni per preparazione e conduzione della seconda prova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LE NOVITA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: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resta fermo il punteggio massimo di 100 (eventualmente con lode) e il minimo di 60 punti.</w:t>
      </w:r>
    </w:p>
    <w:p>
      <w:pPr>
        <w:pStyle w:val="Normale"/>
        <w:numPr>
          <w:ilvl w:val="0"/>
          <w:numId w:val="2"/>
        </w:num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CAMBIA IL CREDITO SCOLASTICO</w:t>
      </w:r>
      <w:r>
        <w:rPr>
          <w:rStyle w:val="Nessuno"/>
          <w:rFonts w:ascii="Times New Roman" w:hAnsi="Times New Roman"/>
          <w:rtl w:val="0"/>
          <w:lang w:val="it-IT"/>
        </w:rPr>
        <w:t>: dal 18/19 conta 40 punti, suddivisi nel triennio in 12+13+15 punti. Il credito sar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cos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rtl w:val="0"/>
          <w:lang w:val="it-IT"/>
        </w:rPr>
        <w:t>attribuito per fasce di punteggio in base alle medie voti:</w:t>
      </w:r>
      <w:r>
        <w:rPr>
          <w:rStyle w:val="Nessuno"/>
          <w:shd w:val="clear" w:color="auto" w:fill="ffffff"/>
        </w:rPr>
        <w:drawing>
          <wp:inline distT="0" distB="0" distL="0" distR="0">
            <wp:extent cx="6116320" cy="268773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-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87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onsiderato che i nuovi punteggi entrano in vigore nel 2018/19 e che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attribuzione del credito riguarda gli ultimi tre anni di corso,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la circolare MIUR 3050 del 4/10/18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dispone la conversione del credito attribuito negli anni precedenti (classi III e classi III e IV), distinguendo tra chi sosterr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esame nel 2018/19 e chi lo sosterr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nel 2019/2020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 Per il c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orrente anno scolastico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si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avr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il credito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vecchio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del III e IV anno da convertire, nuovo per il quinto;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la conversione avverr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attraverso la seguente tabella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PT Serif" w:cs="PT Serif" w:hAnsi="PT Serif" w:eastAsia="PT Serif"/>
          <w:color w:val="464646"/>
          <w:sz w:val="32"/>
          <w:szCs w:val="32"/>
          <w:rtl w:val="0"/>
        </w:rPr>
      </w:pPr>
      <w:r>
        <w:rPr>
          <w:rStyle w:val="Nessuno"/>
          <w:rFonts w:ascii="PT Serif" w:cs="PT Serif" w:hAnsi="PT Serif" w:eastAsia="PT Serif"/>
          <w:color w:val="464646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6116320" cy="418148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-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81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 consigli di classe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opereranno in occasione degli scrutini di gennaio, 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convocati,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conversione del credito scolastico conseguito nel III e nel IV anno di corso da ciascuno studente (secondo quanto indicato nelle sopra riportate tabelle), verbalizzandone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esito.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esito dell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operazione di conversione del credito 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comunicata agli studenti 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per loro tramite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alle famiglie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attraverso comunicazione a voce a cura dei coordinatori di classe, nei giorni immediastamente successivi agli scrutini.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Nel caso di abbreviazione del corso di studi per merito (ossia per i candidati frequentanti la classe quarta, poi ammessi 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esame), il credito scolastico del quinto anno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attribuito nella stessa misura di quello del quarto (se per il quarto anno il consiglio di classe attribuisce, ad esempio, 10 punti, lo stesso avverr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per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ultimo anno non frequentato).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Il credito scolastico ai candidati esterni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attribuito sempre in riferimento </w:t>
      </w:r>
      <w:r>
        <w:rPr>
          <w:rStyle w:val="Nessuno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it-IT"/>
        </w:rPr>
        <w:t xml:space="preserve">alla </w:t>
      </w:r>
      <w:r>
        <w:rPr>
          <w:rStyle w:val="Nessuno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it-IT"/>
        </w:rPr>
        <w:t xml:space="preserve">medesima </w:t>
      </w:r>
      <w:r>
        <w:rPr>
          <w:rStyle w:val="Nessuno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it-IT"/>
        </w:rPr>
        <w:t xml:space="preserve">tabella </w:t>
      </w:r>
      <w:r>
        <w:rPr>
          <w:rStyle w:val="Nessuno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it-IT"/>
        </w:rPr>
        <w:t xml:space="preserve">sopra indicata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(allegato A alla circolare MIUR 3050 del 4 ottobre 2018)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dal consiglio della classe innanzi al quale i medesimi sostengono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esame preliminare, sulla base della documentazione del curriculum scolastico e dei risultati delle prove preliminari.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2)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NON CAMBIA LA COSTITUZIONE DELLE COMMISSIONI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La formula di costituzione delle commissioni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sempre: 3 esterni-3 interni, un presidente esterno.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emanato un apposito decreto per i criteri di nomina dei presidenti di commissione. 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comunque istituito un albo dei presidenti di Commissione in USR, ed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previsto che i requisiti per essere presidenti non saranno legati solo a titoli e anzianit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ma anche ad aver seguito uno specifico percorso di formazione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3)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PROVE INVALSI PER LE CLASSI QUINTE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Le prove INVALSI si svolgeranno per italiano, matematica e inglese, a marzo, in tutte le classi quinte di ogni ordine di scuola. Non hanno valore ai fini del punteggio degli esami di stato, e per effetto del decreto Mille Proroghe per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a.s. 2018/19 lo svolgimento delle prove INVALSI non costituisce requisito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accesso 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esame di stato (dal 19/20 invece lo 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). Gli alunni disabili potranno usufruire, 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esame come durante le prove INVALSI, di misure dispensative e compensative suggerite dall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insegnante di sostegno, mentre per gli alunni con DSA sono previste per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esame come per le prove INVALSI solo strumenti compensativi, salvo la 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esistente esenzione dalla prova in lingua straniera per gli alunni con DSA specificamente certificati in tal senso.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Per lo svolgimento e la datazione delle prove INVALSI nelle quinte dell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istituto, seguir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circolare specifica.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4)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LE NUOVE PROVE: PRIMA PROVA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- max 20 punti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Come noto, non ci 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terza prova. La prova di italiano sar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costituita da due tipologie di analisi del testo, 3 testi argomentativi, 2 testi espositivi, tra i quali il candidato/a potr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scegliere la traccia da svolgere. Per le analisi del testo, potranno essere proposte diverse tipologie testuali (saggio, prosa, poesia ecc.) dall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Unit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di Italia ad oggi.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Sono stati pubblicati dal MIUR i primi esempi di prima prova, il 14 dicembre. In fondo alla circolare, il relativo link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5)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LE NUOVE PROVE - LA SECONDA PROVA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- MAX  20 punti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Per tutti gli ordini di scuola, le seconde prove si prevedono nel seno della pluridisciplinariet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Per i Tecnici la struttura della prova prevede una prima parte, che tutti i candidati sono tenuti a svolgere, e una seconda parte con una serie di quesiti tra i quali il candidato sceglier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sulla base del numero indicato in calce al testo.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Per gli studenti dei Professionali la seconda prova avr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color w:val="212121"/>
          <w:sz w:val="24"/>
          <w:szCs w:val="24"/>
          <w:u w:val="single"/>
          <w:shd w:val="clear" w:color="auto" w:fill="ffffff"/>
          <w:rtl w:val="0"/>
          <w:lang w:val="it-IT"/>
        </w:rPr>
        <w:t>carattere pratico-professionale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, e sar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costituita di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una parte definita a livello nazionale e di una seconda parte predisposta dalla Commissione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sulla base del PTOF e soprattutto </w:t>
      </w:r>
      <w:r>
        <w:rPr>
          <w:rStyle w:val="Nessuno"/>
          <w:rFonts w:ascii="Times New Roman" w:hAnsi="Times New Roman"/>
          <w:color w:val="212121"/>
          <w:sz w:val="24"/>
          <w:szCs w:val="24"/>
          <w:u w:val="single"/>
          <w:shd w:val="clear" w:color="auto" w:fill="ffffff"/>
          <w:rtl w:val="0"/>
          <w:lang w:val="it-IT"/>
        </w:rPr>
        <w:t>del documento del 15 maggio, che dovr</w:t>
      </w:r>
      <w:r>
        <w:rPr>
          <w:rStyle w:val="Nessuno"/>
          <w:rFonts w:ascii="Times New Roman" w:hAnsi="Times New Roman" w:hint="default"/>
          <w:color w:val="212121"/>
          <w:sz w:val="24"/>
          <w:szCs w:val="24"/>
          <w:u w:val="single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212121"/>
          <w:sz w:val="24"/>
          <w:szCs w:val="24"/>
          <w:u w:val="single"/>
          <w:shd w:val="clear" w:color="auto" w:fill="ffffff"/>
          <w:rtl w:val="0"/>
          <w:lang w:val="it-IT"/>
        </w:rPr>
        <w:t>quindi recare con precisione i progetti, le esercitazioni pratiche, gli obiettivi di apprendimento e i risultati conseguiti dagli alunni/e</w:t>
      </w:r>
      <w:r>
        <w:rPr>
          <w:rStyle w:val="Nessuno"/>
          <w:rFonts w:ascii="Times New Roman" w:hAnsi="Times New Roman"/>
          <w:color w:val="212121"/>
          <w:sz w:val="24"/>
          <w:szCs w:val="24"/>
          <w:u w:val="single"/>
          <w:shd w:val="clear" w:color="auto" w:fill="ffffff"/>
          <w:rtl w:val="0"/>
        </w:rPr>
        <w:t>.</w:t>
      </w:r>
      <w:r>
        <w:rPr>
          <w:rStyle w:val="Nessuno"/>
          <w:rFonts w:ascii="Times New Roman" w:hAnsi="Times New Roman"/>
          <w:color w:val="212121"/>
          <w:sz w:val="24"/>
          <w:szCs w:val="24"/>
          <w:u w:val="single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La seconda parte della prova pu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essere predisposta dalla Commissione solo dopo aver visto il testo della parte fornita dal MIUR, pertanto la Commissione pu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anche decidere di suddividerla in due giorni.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Il MIUR ha pubblicato a novembre il decreto 769/18, dove sono indicati, per ogni indirizzo di scuola, nuclei fondamentali, quadri di riferimento e obiettivi delle possibili seconde prove.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6) 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LE GRIGLIE DI VALUTAZIONE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con il DM 769/18, del 26/11/18, il Ministero ha realizzato quanto indicato nei commi 5 e 6 dell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art.17 del DLGS 62/17 al fine di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uniformare i criteri di valutazione delle commissioni d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esame per l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attribuzione dei punteggi.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 Sono state infatti fornite dal MIUR con il DM 769/18 per prima e seconda prova le griglie di valutazione, uno standard nazionale a cui ogni commissione dovr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attenersi dettagliando le griglie per i casi specifici o per la parte di prova affidata, nei professionali, alla singola commissione. Le griglie sono volutamente su base 100 punti per moltiplicare gli indicatori. Raggiunto il punteggio su base 100, sar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sufficiente dividere per cinque per avere il punteggio della prova.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opportuno che i coordinatori di classe o i docenti delle materie di prima e seconda prova divulghino, a partire dal 7 gennaio, ai propri alunni le griglie di valutazione per far capire come ci si orienter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nella correzione e valutazione delle prove stesse. Dette griglie sono allegate nel link in fondo alla circolare.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7) 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LE NUOVE PROVE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- IL COLLOQUIO - MAX 20 punti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Scompare la micro-interrogazione nelle singole materie, prassi consolidata ma mai prevista dalla normativa precedente. Il colloquio dovr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toccare i seguenti punti: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-trattazione che trae spunto da argomenti scelti dalla Commissione in relazione a progetti, documenti, problemi, esperienze svolte dalla classe e opportunamente indicate nel documento del 15 maggio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-esperienze di alternanza scuola lavoro. Per effetto del decreto Mille Proroghe non costituisce requisito obbligatorio, per il 18/19, l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aver svolto tutte le 400 ore previste dalla Legge 107/15. Ma 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previsto comunque in sede d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esame che il colloquio tocchi questo punto.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-esperienze di cittadinanza e costituzione svolte dalla classe nell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ultimo anno (e/o eventualmente nel triennio)</w:t>
      </w:r>
    </w:p>
    <w:p>
      <w:pPr>
        <w:pStyle w:val="Di default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discussione delle prove d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esame</w:t>
      </w:r>
    </w:p>
    <w:p>
      <w:pPr>
        <w:pStyle w:val="Di default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resta fermo che durante il colloquio si accerter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la preparazione del candidato nella lingua straniera.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La Commissione dovr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dunque predisporre, durante i lavori preparatori, le tracce di domande da sottoporre per quanto riguarda le trattazioni su argomenti da lei scelte. Dovr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farlo in riferimento a quanto dichiarato svolto dalla classe nel documento del 15 maggio, che quindi acquisisce una centralit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fondamentale perch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é “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indirizza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le scelte della Commissione durante il colloquio. La sua redazione non pu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in nessun modo essere dunque considerata un adempimento meramente burocratico da parte del Consiglio di Classe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8) 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INTEGRAZIONE DEL CREDITO E LODE: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Integrazione del credito: il candidato/a potr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accedervi a partire da almeno 30 punti di credito scolastico ed almeno 50 punti raggiunti nel totale delle tre prove.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Lode: per accedervi, il candidato/a dovr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aver raggiunto il massimo credito scolastico attribuito all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unanimit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durante il triennio e il massimo punteggio in ciascuna delle prove.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 xml:space="preserve">9) </w:t>
      </w:r>
      <w:r>
        <w:rPr>
          <w:rStyle w:val="Nessuno"/>
          <w:rFonts w:ascii="Times New Roman" w:hAnsi="Times New Roman"/>
          <w:b w:val="1"/>
          <w:bCs w:val="1"/>
          <w:color w:val="212121"/>
          <w:sz w:val="24"/>
          <w:szCs w:val="24"/>
          <w:shd w:val="clear" w:color="auto" w:fill="ffffff"/>
          <w:rtl w:val="0"/>
          <w:lang w:val="it-IT"/>
        </w:rPr>
        <w:t>NUOVO MODELLO DI DIPLOMA E CURRICULUM DELLO STUDENTE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Sar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emanato uno specifico DM per la definizione del nuovo modello di diploma che prevede anche il rilascio del curriculum dello studente sulla base delle esperienze svolte, dei crediti formali e informali acquisti.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Per quanto qui non riferito, si rinvia alla circolare MIUR 3050 del 4/10/18 che per opportunit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si allega alla presente circolare nella versione pubblicata sul sito di istituto.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color w:val="212121"/>
          <w:sz w:val="24"/>
          <w:szCs w:val="24"/>
          <w:shd w:val="clear" w:color="auto" w:fill="ffffff"/>
          <w:rtl w:val="0"/>
        </w:rPr>
      </w:pPr>
      <w:r>
        <w:rPr>
          <w:rStyle w:val="Nessuno"/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il DS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esempi prima prova esame di stato 18/19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"http://www.miur.gov.it/web/guest/-/esame-di-stato-2018-2019-secondaria-di-ii-grado-on-line-i-primi-esempi-di-tracce-per-la-prova-di-italiano-della-nuova-maturita-per-accompagnare-gli-st?pk_vid=36d22129b9ff294d15451580767be4d2"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http://www.miur.gov.it/web/guest/-/esame-di-stato-2018-2019-secondaria-di-ii-grado-on-line-i-primi-esempi-di-tracce-per-la-prova-di-italiano-della-nuova-maturita-per-accompagnare-gli-st?pk_vid=36d22129b9ff294d15451580767be4d2</w:t>
      </w:r>
      <w:r>
        <w:rPr/>
        <w:fldChar w:fldCharType="end" w:fldLock="0"/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Quadri di riferimento e griglie di valutazione per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attribuzione punteggi</w:t>
      </w:r>
    </w:p>
    <w:p>
      <w:pPr>
        <w:pStyle w:val="Normale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"http://www.miur.gov.it/web/guest/news/-/asset_publisher/ubIwoWFcqWhG/content/esami-di-stato-del-secondo-ciclo-di-istruzione-a-s-2018-2019-d-m-769-del-26-novembre-2018?pk_vid=36d22129b9ff294d15451580867be4d2"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http://www.miur.gov.it/web/guest/news/-/asset_publisher/ubIwoWFcqWhG/content/esami-di-stato-del-secondo-ciclo-di-istruzione-a-s-2018-2019-d-m-769-del-26-novembre-2018?pk_vid=36d22129b9ff294d15451580867be4d2</w:t>
      </w:r>
      <w:r>
        <w:rPr/>
        <w:fldChar w:fldCharType="end" w:fldLock="0"/>
      </w: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olo 2">
    <w:name w:val="Titolo 2"/>
    <w:next w:val="Titol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2"/>
      <w:szCs w:val="22"/>
      <w:u w:val="singl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Con lettere">
    <w:name w:val="Con lettere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Punti elenco">
    <w:name w:val="Punti elenco"/>
    <w:pPr>
      <w:numPr>
        <w:numId w:val="3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