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7" w:rsidRPr="00154AB9" w:rsidRDefault="00E9081E" w:rsidP="00E9081E">
      <w:pPr>
        <w:pStyle w:val="NormaleWeb"/>
        <w:shd w:val="clear" w:color="auto" w:fill="FFFFFF"/>
        <w:spacing w:before="0"/>
        <w:rPr>
          <w:rStyle w:val="Nessuno"/>
          <w:color w:val="212529"/>
          <w:sz w:val="22"/>
          <w:szCs w:val="22"/>
          <w:u w:color="212529"/>
        </w:rPr>
      </w:pPr>
      <w:r w:rsidRPr="00154AB9">
        <w:rPr>
          <w:rStyle w:val="Nessuno"/>
          <w:b/>
          <w:bCs/>
          <w:color w:val="212529"/>
          <w:sz w:val="22"/>
          <w:szCs w:val="22"/>
          <w:u w:color="212529"/>
        </w:rPr>
        <w:t xml:space="preserve">Circolare </w:t>
      </w:r>
      <w:r w:rsidR="00562C4E" w:rsidRPr="00154AB9">
        <w:rPr>
          <w:rStyle w:val="Nessuno"/>
          <w:b/>
          <w:bCs/>
          <w:color w:val="212529"/>
          <w:sz w:val="22"/>
          <w:szCs w:val="22"/>
          <w:u w:color="212529"/>
        </w:rPr>
        <w:t>140</w:t>
      </w:r>
      <w:r w:rsidRPr="00154AB9">
        <w:rPr>
          <w:rStyle w:val="Nessuno"/>
          <w:b/>
          <w:bCs/>
          <w:color w:val="212529"/>
          <w:sz w:val="22"/>
          <w:szCs w:val="22"/>
          <w:u w:color="212529"/>
        </w:rPr>
        <w:t xml:space="preserve">-20 </w:t>
      </w:r>
      <w:r w:rsidRPr="00154AB9">
        <w:rPr>
          <w:rStyle w:val="Nessuno"/>
          <w:b/>
          <w:bCs/>
          <w:color w:val="212529"/>
          <w:sz w:val="22"/>
          <w:szCs w:val="22"/>
          <w:u w:color="212529"/>
        </w:rPr>
        <w:br/>
      </w:r>
      <w:r w:rsidRPr="00154AB9">
        <w:rPr>
          <w:rStyle w:val="Nessuno"/>
          <w:color w:val="212529"/>
          <w:sz w:val="22"/>
          <w:szCs w:val="22"/>
          <w:u w:color="212529"/>
        </w:rPr>
        <w:t xml:space="preserve">Cesena, </w:t>
      </w:r>
      <w:r w:rsidR="00562C4E" w:rsidRPr="00154AB9">
        <w:rPr>
          <w:rStyle w:val="Nessuno"/>
          <w:color w:val="212529"/>
          <w:sz w:val="22"/>
          <w:szCs w:val="22"/>
          <w:u w:color="212529"/>
        </w:rPr>
        <w:t>23</w:t>
      </w:r>
      <w:r w:rsidRPr="00154AB9">
        <w:rPr>
          <w:rStyle w:val="Nessuno"/>
          <w:color w:val="212529"/>
          <w:sz w:val="22"/>
          <w:szCs w:val="22"/>
          <w:u w:color="212529"/>
        </w:rPr>
        <w:t>/4/2021</w:t>
      </w:r>
      <w:r w:rsidRPr="00154AB9">
        <w:rPr>
          <w:rStyle w:val="Nessuno"/>
          <w:color w:val="212529"/>
          <w:sz w:val="22"/>
          <w:szCs w:val="22"/>
          <w:u w:color="212529"/>
        </w:rPr>
        <w:tab/>
      </w:r>
      <w:r w:rsidRPr="00154AB9">
        <w:rPr>
          <w:rStyle w:val="Nessuno"/>
          <w:color w:val="212529"/>
          <w:sz w:val="22"/>
          <w:szCs w:val="22"/>
          <w:u w:color="212529"/>
        </w:rPr>
        <w:tab/>
      </w:r>
      <w:r w:rsidRPr="00154AB9">
        <w:rPr>
          <w:rStyle w:val="Nessuno"/>
          <w:color w:val="212529"/>
          <w:sz w:val="22"/>
          <w:szCs w:val="22"/>
          <w:u w:color="212529"/>
        </w:rPr>
        <w:tab/>
      </w:r>
      <w:r w:rsidRPr="00154AB9">
        <w:rPr>
          <w:rStyle w:val="Nessuno"/>
          <w:color w:val="212529"/>
          <w:sz w:val="22"/>
          <w:szCs w:val="22"/>
          <w:u w:color="212529"/>
        </w:rPr>
        <w:tab/>
      </w:r>
      <w:r w:rsidRPr="00154AB9">
        <w:rPr>
          <w:rStyle w:val="Nessuno"/>
          <w:color w:val="212529"/>
          <w:sz w:val="22"/>
          <w:szCs w:val="22"/>
          <w:u w:color="212529"/>
        </w:rPr>
        <w:tab/>
      </w:r>
      <w:r w:rsidRPr="00154AB9">
        <w:rPr>
          <w:rStyle w:val="Nessuno"/>
          <w:color w:val="212529"/>
          <w:sz w:val="22"/>
          <w:szCs w:val="22"/>
          <w:u w:color="212529"/>
        </w:rPr>
        <w:tab/>
      </w:r>
    </w:p>
    <w:p w:rsidR="003A4E97" w:rsidRPr="00154AB9" w:rsidRDefault="00E9081E">
      <w:pPr>
        <w:pStyle w:val="NormaleWeb"/>
        <w:shd w:val="clear" w:color="auto" w:fill="FFFFFF"/>
        <w:spacing w:before="0"/>
        <w:jc w:val="right"/>
        <w:rPr>
          <w:rStyle w:val="Nessuno"/>
          <w:color w:val="212529"/>
          <w:sz w:val="22"/>
          <w:szCs w:val="22"/>
          <w:u w:color="212529"/>
        </w:rPr>
      </w:pPr>
      <w:r w:rsidRPr="00154AB9">
        <w:rPr>
          <w:rStyle w:val="Nessuno"/>
          <w:color w:val="212529"/>
          <w:sz w:val="22"/>
          <w:szCs w:val="22"/>
          <w:u w:color="212529"/>
        </w:rPr>
        <w:t>A tutti gli alunni/e</w:t>
      </w:r>
      <w:r w:rsidRPr="00154AB9">
        <w:rPr>
          <w:rStyle w:val="Nessuno"/>
          <w:color w:val="212529"/>
          <w:sz w:val="22"/>
          <w:szCs w:val="22"/>
          <w:u w:color="212529"/>
        </w:rPr>
        <w:br/>
        <w:t>A tutte le famiglie</w:t>
      </w:r>
      <w:r w:rsidRPr="00154AB9">
        <w:rPr>
          <w:rStyle w:val="Nessuno"/>
          <w:color w:val="212529"/>
          <w:sz w:val="22"/>
          <w:szCs w:val="22"/>
          <w:u w:color="212529"/>
        </w:rPr>
        <w:br/>
        <w:t>A tutti i dipendenti della scuola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Oggetto: URGENTE: DIDATTICA al 70 per cento in presenza dal 26 aprile in zona gialla e arancione – al 50% in zona rossa - decreto legge 52 del 22 aprile 2021 e nota USR 7015 del 23 aprile 21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La presente circolare disciplina le modalità con cui si svolge la attività didattica a partire dal 26 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a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prile, 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fino alla fine dell’anno scolastico, in base al Decreto legge 52 del 22/4/21 e la nota USR allegati </w:t>
      </w:r>
      <w:r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sul sito della scuola 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alla presente.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Da lunedì 26 aprile fino al termine dell’anno scolastico vige per l’IS Pascal </w:t>
      </w:r>
      <w:proofErr w:type="spellStart"/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Comandini</w:t>
      </w:r>
      <w:proofErr w:type="spellEnd"/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 la pr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e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sente circolare, salvo variazioni di percentuali frequenza che saranno nel caso comunicate sempre tramite circolare. </w:t>
      </w:r>
      <w:r w:rsidRPr="005F29F4">
        <w:rPr>
          <w:rFonts w:ascii="Times New Roman" w:eastAsia="Times New Roman" w:hAnsi="Times New Roman" w:cs="Times New Roman"/>
          <w:bCs/>
          <w:color w:val="auto"/>
          <w:bdr w:val="none" w:sz="0" w:space="0" w:color="auto"/>
          <w:shd w:val="clear" w:color="auto" w:fill="auto"/>
        </w:rPr>
        <w:t>La collocazione della Regione in zona gialla, rossa o arancione d</w:t>
      </w:r>
      <w:r w:rsidRPr="005F29F4">
        <w:rPr>
          <w:rFonts w:ascii="Times New Roman" w:eastAsia="Times New Roman" w:hAnsi="Times New Roman" w:cs="Times New Roman"/>
          <w:bCs/>
          <w:color w:val="auto"/>
          <w:bdr w:val="none" w:sz="0" w:space="0" w:color="auto"/>
          <w:shd w:val="clear" w:color="auto" w:fill="auto"/>
        </w:rPr>
        <w:t>i</w:t>
      </w:r>
      <w:r w:rsidRPr="005F29F4">
        <w:rPr>
          <w:rFonts w:ascii="Times New Roman" w:eastAsia="Times New Roman" w:hAnsi="Times New Roman" w:cs="Times New Roman"/>
          <w:bCs/>
          <w:color w:val="auto"/>
          <w:bdr w:val="none" w:sz="0" w:space="0" w:color="auto"/>
          <w:shd w:val="clear" w:color="auto" w:fill="auto"/>
        </w:rPr>
        <w:t>pende dalle ordinanze del Ministro della Salute che sono rivedibili ogni venerdì della settimana e dalle i</w:t>
      </w:r>
      <w:r w:rsidRPr="005F29F4">
        <w:rPr>
          <w:rFonts w:ascii="Times New Roman" w:eastAsia="Times New Roman" w:hAnsi="Times New Roman" w:cs="Times New Roman"/>
          <w:bCs/>
          <w:color w:val="auto"/>
          <w:bdr w:val="none" w:sz="0" w:space="0" w:color="auto"/>
          <w:shd w:val="clear" w:color="auto" w:fill="auto"/>
        </w:rPr>
        <w:t>n</w:t>
      </w:r>
      <w:r w:rsidRPr="005F29F4">
        <w:rPr>
          <w:rFonts w:ascii="Times New Roman" w:eastAsia="Times New Roman" w:hAnsi="Times New Roman" w:cs="Times New Roman"/>
          <w:bCs/>
          <w:color w:val="auto"/>
          <w:bdr w:val="none" w:sz="0" w:space="0" w:color="auto"/>
          <w:shd w:val="clear" w:color="auto" w:fill="auto"/>
        </w:rPr>
        <w:t>dicazioni dell'USR, attualmente valide fino a 8 maggio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.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In caso di collocazione della Regione in ZONA GIALLA O ARANCIONE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La scuola, in base all’art. 2 del Decreto citato e </w:t>
      </w:r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in ottemperanza alle indicazioni della nota USR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, mantiene la frequenza al 50% per tutte le classi secondo lo schema attuale, eccetto le classi quinte di entrambi i plessi e le classi terze del IPIA </w:t>
      </w:r>
      <w:proofErr w:type="spellStart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Comandini</w:t>
      </w:r>
      <w:proofErr w:type="spellEnd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(per lo svolgimento degli </w:t>
      </w:r>
      <w:proofErr w:type="spellStart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Iefp</w:t>
      </w:r>
      <w:proofErr w:type="spellEnd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equiparati a laboratori), le quali frequentano al 100% in presenza. (Il totale di frequenza in presenza compreso gli alunni disabili, o con DSA o BES, corrisponde al 70%).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Dunque: classi prime seconde e quarte di entrambi i plessi e classi terze ITI Pascal: frequenza in presenza al 50% in continuità con i turni attuali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Classi quinte di entrambi i plessi e classi terze del IPIA </w:t>
      </w:r>
      <w:proofErr w:type="spellStart"/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Comandini</w:t>
      </w:r>
      <w:proofErr w:type="spellEnd"/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: frequenza in presenza al 100%.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In caso di collocazione della Regione in  ZONA ROSSA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La scuola, in base all’art. 2 del Decreto citato e </w:t>
      </w:r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in ottemperanza alle indicazioni della nota USR a</w:t>
      </w:r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l</w:t>
      </w:r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legata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, mantiene la frequenza al 50% per tutte le classi senza alcuna eccezione secondo lo schema attuale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In tutti i casi di  ZONA GIALLA, ARANCIONE O ROSSA, rimangono vigenti le seguenti d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sposizioni:</w:t>
      </w:r>
    </w:p>
    <w:p w:rsidR="00493016" w:rsidRPr="005F29F4" w:rsidRDefault="00493016" w:rsidP="005F29F4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lastRenderedPageBreak/>
        <w:t>Le attuali indicazioni per gli alunni disabili o con DSA o BES frequentanti in presenza r</w:t>
      </w: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e</w:t>
      </w: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stano in vigore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. Pertanto non sono consentiti cambiamenti di frequenza, né da presenza a distanza, né da distanza a presenza, rispetto a quanto indicato e scelto dalle famiglie e attu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a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to dall’8 marzo. </w:t>
      </w:r>
      <w:r w:rsidRPr="005F29F4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Ciò viene disposto per mantenere il numero degli alunni totali frequentanti in presenza sempre al 70% o al 50% a seconda dei colori della zona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e non può essere der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o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gato date le valutazioni già operate dai singoli consigli di classe sull’opportunità della fr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e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quenza in presenza dei singoli casi di 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a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lunni.</w:t>
      </w:r>
    </w:p>
    <w:p w:rsidR="00493016" w:rsidRPr="00493016" w:rsidRDefault="00493016" w:rsidP="005F2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Sono consentiti solo cambiamenti da distanza a presenza in caso di subentrate improvvise difficoltà di connessione, che devono essere documentate ai coordinatori/</w:t>
      </w:r>
      <w:proofErr w:type="spellStart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trici</w:t>
      </w:r>
      <w:proofErr w:type="spellEnd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di classe.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2) Le attività di PCTO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si svolgono come previsto e programmato e già vigente, ai sensi di Nota MIUR 343 del 4/3/21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3) 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 ricevimenti mattutini dei genitori si terranno tutte le settimane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, fino a termine secondo quadrimestre e sono consentiti in presenza per un massimo di 4 genitori alla volta per docente, e s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o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lo su prenotazione obbligatoria. Le udienze pomeridiane di aprile sono annullate.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E’ possibile e anzi raccomandato, previo consenso di entrambe le parti (genitore, docente) svolgere i ricevimenti anche on </w:t>
      </w:r>
      <w:proofErr w:type="spellStart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line</w:t>
      </w:r>
      <w:proofErr w:type="spellEnd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o al telefono, nell’ora di ricevimento mattutina.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In zona arancione il ricevimento on </w:t>
      </w:r>
      <w:proofErr w:type="spellStart"/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line</w:t>
      </w:r>
      <w:proofErr w:type="spellEnd"/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 o al telefono è OBBLIGATORIO per genitori res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</w:t>
      </w: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denti in altro comune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, in quanto lo spostamento verso scuola per incontrare il docente non rientra fra le comprovate esigenze di necessità. </w:t>
      </w:r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Pertanto i docenti in questi casi specifici sono tenuti al r</w:t>
      </w:r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i</w:t>
      </w:r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 xml:space="preserve">cevimento on </w:t>
      </w:r>
      <w:proofErr w:type="spellStart"/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>line</w:t>
      </w:r>
      <w:proofErr w:type="spellEnd"/>
      <w:r w:rsidRPr="0049301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shd w:val="clear" w:color="auto" w:fill="auto"/>
        </w:rPr>
        <w:t xml:space="preserve"> o al telefono dei genitori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.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Si chiede ai docenti di assecondare confronti a distanza (on </w:t>
      </w:r>
      <w:proofErr w:type="spellStart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line</w:t>
      </w:r>
      <w:proofErr w:type="spellEnd"/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o al telefono) in altri orari anche nei casi eccezionali in cui il genitore dichiari espressamente di non poter essere libero la mattina per e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f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fettuare colloqui.</w:t>
      </w:r>
    </w:p>
    <w:p w:rsidR="00493016" w:rsidRPr="005F29F4" w:rsidRDefault="00493016" w:rsidP="005F29F4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 viaggi di istruzione, le visite guidate, le uscite didattiche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, </w:t>
      </w: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gli stage all’estero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, </w:t>
      </w: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gli sca</w:t>
      </w: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m</w:t>
      </w: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 xml:space="preserve">bi culturali 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sono sospesi</w:t>
      </w:r>
    </w:p>
    <w:p w:rsidR="00493016" w:rsidRPr="005F29F4" w:rsidRDefault="00493016" w:rsidP="005F29F4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I progetti pomeridiani, e le attività pomeridiane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, salvo quelle previste per alunni dis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a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bili o con DSA o con BES (es. laboratori L2), e le attività per progetti di eccellenza, rientranti nelle ore PCTO, sono sospesi. I corsi di recupero che prevedono attività </w:t>
      </w:r>
      <w:proofErr w:type="spellStart"/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laboratoriali</w:t>
      </w:r>
      <w:proofErr w:type="spellEnd"/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e il progetto Laboratori Aperti si tengono in presenza. I corsi di recupero di materie teoriche si svolgono improrogabilmente a distanza.</w:t>
      </w:r>
    </w:p>
    <w:p w:rsidR="00493016" w:rsidRPr="005F29F4" w:rsidRDefault="00493016" w:rsidP="005F29F4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5F29F4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Le attività pomeridiane degli enti convenzionati con la scuola per alunni con Bisogni Educativi Speciali o alunni con DSA</w:t>
      </w:r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 xml:space="preserve"> (doposcuola, laboratori L2, ecc.) possono riprendere al pomeriggio in presenza, con la massima cura del protocollo misure </w:t>
      </w:r>
      <w:proofErr w:type="spellStart"/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anti-covid</w:t>
      </w:r>
      <w:proofErr w:type="spellEnd"/>
      <w:r w:rsidRPr="005F29F4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.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lastRenderedPageBreak/>
        <w:t>ART. 3 comma 2 DECRETO LEGGE 52 del 22-4-21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/>
          <w:shd w:val="clear" w:color="auto" w:fill="auto"/>
        </w:rPr>
        <w:t xml:space="preserve">(Disposizioni urgenti per le attività scolastiche e didattiche delle scuole di ogni ordine e grado) 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shd w:val="clear" w:color="auto" w:fill="auto"/>
        </w:rPr>
        <w:t>Dal 26 aprile 2021 e fino alla conclusione dell’anno scolastico 2020-2021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, le istituzioni scolast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i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che secondarie di secondo grado adottano forme flessibili nell’organizzazione dell’attività dida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t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tica, ai sensi degli articoli 4e 5 del decreto del Presidente della Repubblica 8 marzo 1999, n. 275, affi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n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ché, nella zona rossa, sia garantita l’attività didattica in presenza ad almeno il 50 per cento e fino a un massimo del 75 per cento, della popolazione studentesca e, nelle zone gialla e arancione, ad a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l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meno il 70 per cento e fino al 100 per cento della popolazione studentesca. La restante parte della popolazione studentesca delle predette istituzioni scolastiche si avvale della didattica a dista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n</w:t>
      </w: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za.</w:t>
      </w:r>
    </w:p>
    <w:p w:rsidR="00493016" w:rsidRPr="00493016" w:rsidRDefault="00493016" w:rsidP="00493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</w:pPr>
      <w:r w:rsidRPr="00493016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auto"/>
        </w:rPr>
        <w:t>Cordiali saluti                                                                                                                       il DS</w:t>
      </w:r>
    </w:p>
    <w:p w:rsidR="003A4E97" w:rsidRPr="00154AB9" w:rsidRDefault="003A4E97" w:rsidP="00493016">
      <w:pPr>
        <w:pStyle w:val="NormaleWeb"/>
        <w:shd w:val="clear" w:color="auto" w:fill="FFFFFF"/>
        <w:spacing w:before="0"/>
        <w:jc w:val="both"/>
        <w:rPr>
          <w:sz w:val="22"/>
          <w:szCs w:val="22"/>
        </w:rPr>
      </w:pPr>
    </w:p>
    <w:sectPr w:rsidR="003A4E97" w:rsidRPr="00154AB9" w:rsidSect="003A4E97">
      <w:headerReference w:type="default" r:id="rId7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97" w:rsidRDefault="003A4E97" w:rsidP="003A4E97">
      <w:r>
        <w:separator/>
      </w:r>
    </w:p>
  </w:endnote>
  <w:endnote w:type="continuationSeparator" w:id="0">
    <w:p w:rsidR="003A4E97" w:rsidRDefault="003A4E97" w:rsidP="003A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97" w:rsidRDefault="003A4E97" w:rsidP="003A4E97">
      <w:r>
        <w:separator/>
      </w:r>
    </w:p>
  </w:footnote>
  <w:footnote w:type="continuationSeparator" w:id="0">
    <w:p w:rsidR="003A4E97" w:rsidRDefault="003A4E97" w:rsidP="003A4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4E" w:rsidRDefault="00562C4E"/>
  <w:p w:rsidR="00562C4E" w:rsidRDefault="00562C4E"/>
  <w:tbl>
    <w:tblPr>
      <w:tblW w:w="10079" w:type="dxa"/>
      <w:tblCellSpacing w:w="0" w:type="dxa"/>
      <w:tblCellMar>
        <w:left w:w="0" w:type="dxa"/>
        <w:right w:w="0" w:type="dxa"/>
      </w:tblCellMar>
      <w:tblLook w:val="04A0"/>
    </w:tblPr>
    <w:tblGrid>
      <w:gridCol w:w="2624"/>
      <w:gridCol w:w="4345"/>
      <w:gridCol w:w="3110"/>
    </w:tblGrid>
    <w:tr w:rsidR="00562C4E" w:rsidRPr="007B2B58" w:rsidTr="00562C4E">
      <w:trPr>
        <w:trHeight w:val="1887"/>
        <w:tblCellSpacing w:w="0" w:type="dxa"/>
      </w:trPr>
      <w:tc>
        <w:tcPr>
          <w:tcW w:w="2624" w:type="dxa"/>
          <w:vAlign w:val="center"/>
          <w:hideMark/>
        </w:tcPr>
        <w:p w:rsidR="00562C4E" w:rsidRPr="007B2B58" w:rsidRDefault="00562C4E" w:rsidP="00AB7615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590675" cy="1112360"/>
                <wp:effectExtent l="19050" t="0" r="9525" b="0"/>
                <wp:docPr id="1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hideMark/>
        </w:tcPr>
        <w:p w:rsidR="00562C4E" w:rsidRPr="007B2B58" w:rsidRDefault="00562C4E" w:rsidP="00AB7615">
          <w:pPr>
            <w:spacing w:before="100" w:beforeAutospacing="1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Arial" w:eastAsia="Times New Roman" w:hAnsi="Arial" w:cs="Arial"/>
              <w:b/>
              <w:bCs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</w:rPr>
            <w:t>Pascal-Comandini</w:t>
          </w:r>
          <w:proofErr w:type="spellEnd"/>
        </w:p>
        <w:p w:rsidR="00562C4E" w:rsidRPr="007B2B58" w:rsidRDefault="00562C4E" w:rsidP="00AB7615">
          <w:pPr>
            <w:spacing w:before="119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FOIS0100L@istruzione.it</w:t>
            </w:r>
          </w:hyperlink>
        </w:p>
        <w:p w:rsidR="00562C4E" w:rsidRPr="007B2B58" w:rsidRDefault="00562C4E" w:rsidP="00AB7615">
          <w:pPr>
            <w:spacing w:before="119" w:after="142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FOIS0100L@pec.istruzione.it</w:t>
          </w:r>
        </w:p>
      </w:tc>
      <w:tc>
        <w:tcPr>
          <w:tcW w:w="3110" w:type="dxa"/>
          <w:hideMark/>
        </w:tcPr>
        <w:p w:rsidR="00562C4E" w:rsidRPr="007B2B58" w:rsidRDefault="00562C4E" w:rsidP="00AB7615">
          <w:pPr>
            <w:spacing w:before="100" w:beforeAutospacing="1" w:after="14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A4E97" w:rsidRDefault="003A4E97" w:rsidP="00562C4E">
    <w:pPr>
      <w:spacing w:before="100" w:after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F06"/>
    <w:multiLevelType w:val="multilevel"/>
    <w:tmpl w:val="235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0E4C"/>
    <w:multiLevelType w:val="hybridMultilevel"/>
    <w:tmpl w:val="5636EE24"/>
    <w:lvl w:ilvl="0" w:tplc="DEA04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F72"/>
    <w:multiLevelType w:val="hybridMultilevel"/>
    <w:tmpl w:val="0F742C5C"/>
    <w:lvl w:ilvl="0" w:tplc="B42A3D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3795D"/>
    <w:multiLevelType w:val="hybridMultilevel"/>
    <w:tmpl w:val="A8904C9E"/>
    <w:lvl w:ilvl="0" w:tplc="FCAE4544">
      <w:start w:val="4"/>
      <w:numFmt w:val="decimal"/>
      <w:lvlText w:val="%1)"/>
      <w:lvlJc w:val="left"/>
      <w:pPr>
        <w:ind w:left="549" w:hanging="360"/>
      </w:pPr>
      <w:rPr>
        <w:rFonts w:ascii="Times New Roman" w:hAnsi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9" w:hanging="360"/>
      </w:pPr>
    </w:lvl>
    <w:lvl w:ilvl="2" w:tplc="0410001B" w:tentative="1">
      <w:start w:val="1"/>
      <w:numFmt w:val="lowerRoman"/>
      <w:lvlText w:val="%3."/>
      <w:lvlJc w:val="right"/>
      <w:pPr>
        <w:ind w:left="1989" w:hanging="180"/>
      </w:pPr>
    </w:lvl>
    <w:lvl w:ilvl="3" w:tplc="0410000F" w:tentative="1">
      <w:start w:val="1"/>
      <w:numFmt w:val="decimal"/>
      <w:lvlText w:val="%4."/>
      <w:lvlJc w:val="left"/>
      <w:pPr>
        <w:ind w:left="2709" w:hanging="360"/>
      </w:pPr>
    </w:lvl>
    <w:lvl w:ilvl="4" w:tplc="04100019" w:tentative="1">
      <w:start w:val="1"/>
      <w:numFmt w:val="lowerLetter"/>
      <w:lvlText w:val="%5."/>
      <w:lvlJc w:val="left"/>
      <w:pPr>
        <w:ind w:left="3429" w:hanging="360"/>
      </w:pPr>
    </w:lvl>
    <w:lvl w:ilvl="5" w:tplc="0410001B" w:tentative="1">
      <w:start w:val="1"/>
      <w:numFmt w:val="lowerRoman"/>
      <w:lvlText w:val="%6."/>
      <w:lvlJc w:val="right"/>
      <w:pPr>
        <w:ind w:left="4149" w:hanging="180"/>
      </w:pPr>
    </w:lvl>
    <w:lvl w:ilvl="6" w:tplc="0410000F" w:tentative="1">
      <w:start w:val="1"/>
      <w:numFmt w:val="decimal"/>
      <w:lvlText w:val="%7."/>
      <w:lvlJc w:val="left"/>
      <w:pPr>
        <w:ind w:left="4869" w:hanging="360"/>
      </w:pPr>
    </w:lvl>
    <w:lvl w:ilvl="7" w:tplc="04100019" w:tentative="1">
      <w:start w:val="1"/>
      <w:numFmt w:val="lowerLetter"/>
      <w:lvlText w:val="%8."/>
      <w:lvlJc w:val="left"/>
      <w:pPr>
        <w:ind w:left="5589" w:hanging="360"/>
      </w:pPr>
    </w:lvl>
    <w:lvl w:ilvl="8" w:tplc="0410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>
    <w:nsid w:val="30212743"/>
    <w:multiLevelType w:val="hybridMultilevel"/>
    <w:tmpl w:val="A37C7BF4"/>
    <w:numStyleLink w:val="Puntielenco"/>
  </w:abstractNum>
  <w:abstractNum w:abstractNumId="5">
    <w:nsid w:val="30FB4D31"/>
    <w:multiLevelType w:val="multilevel"/>
    <w:tmpl w:val="212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E0791"/>
    <w:multiLevelType w:val="hybridMultilevel"/>
    <w:tmpl w:val="B48AC43E"/>
    <w:lvl w:ilvl="0" w:tplc="DEA04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7FF4"/>
    <w:multiLevelType w:val="hybridMultilevel"/>
    <w:tmpl w:val="24D08D24"/>
    <w:lvl w:ilvl="0" w:tplc="DEA0462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5F9"/>
    <w:multiLevelType w:val="hybridMultilevel"/>
    <w:tmpl w:val="A37C7BF4"/>
    <w:styleLink w:val="Puntielenco"/>
    <w:lvl w:ilvl="0" w:tplc="A658160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54330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0246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AA01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0A9B0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22701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50A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0AB4B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6E849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6B5614F3"/>
    <w:multiLevelType w:val="multilevel"/>
    <w:tmpl w:val="E4DC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E0BC7"/>
    <w:multiLevelType w:val="multilevel"/>
    <w:tmpl w:val="044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E97"/>
    <w:rsid w:val="000469ED"/>
    <w:rsid w:val="00080F73"/>
    <w:rsid w:val="001310FC"/>
    <w:rsid w:val="00154AB9"/>
    <w:rsid w:val="001B38C1"/>
    <w:rsid w:val="003A4E97"/>
    <w:rsid w:val="00434E13"/>
    <w:rsid w:val="00493016"/>
    <w:rsid w:val="00562C4E"/>
    <w:rsid w:val="005C01C7"/>
    <w:rsid w:val="005F29F4"/>
    <w:rsid w:val="00655DEF"/>
    <w:rsid w:val="00707B5C"/>
    <w:rsid w:val="00886398"/>
    <w:rsid w:val="009F7C35"/>
    <w:rsid w:val="00B661D4"/>
    <w:rsid w:val="00E9081E"/>
    <w:rsid w:val="00F5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4E97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4E97"/>
    <w:rPr>
      <w:u w:val="single"/>
    </w:rPr>
  </w:style>
  <w:style w:type="table" w:customStyle="1" w:styleId="TableNormal">
    <w:name w:val="Table Normal"/>
    <w:rsid w:val="003A4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A4E97"/>
  </w:style>
  <w:style w:type="character" w:customStyle="1" w:styleId="Hyperlink0">
    <w:name w:val="Hyperlink.0"/>
    <w:basedOn w:val="Nessuno"/>
    <w:rsid w:val="003A4E97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</w:rPr>
  </w:style>
  <w:style w:type="character" w:customStyle="1" w:styleId="Hyperlink1">
    <w:name w:val="Hyperlink.1"/>
    <w:basedOn w:val="Nessuno"/>
    <w:rsid w:val="003A4E97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Intestazioneepidipagina">
    <w:name w:val="Intestazione e piè di pagina"/>
    <w:rsid w:val="003A4E9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NormaleWeb">
    <w:name w:val="Normal (Web)"/>
    <w:uiPriority w:val="99"/>
    <w:rsid w:val="003A4E97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Default">
    <w:name w:val="Default"/>
    <w:rsid w:val="003A4E97"/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essunoA">
    <w:name w:val="Nessuno A"/>
    <w:rsid w:val="003A4E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3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398"/>
    <w:rPr>
      <w:rFonts w:ascii="Tahoma" w:hAnsi="Tahoma" w:cs="Tahoma"/>
      <w:color w:val="00000A"/>
      <w:sz w:val="16"/>
      <w:szCs w:val="16"/>
      <w:u w:color="00000A"/>
    </w:rPr>
  </w:style>
  <w:style w:type="numbering" w:customStyle="1" w:styleId="Puntielenco">
    <w:name w:val="Punti elenco"/>
    <w:rsid w:val="00080F73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5C01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62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2C4E"/>
    <w:rPr>
      <w:rFonts w:ascii="Calibri" w:hAnsi="Calibri" w:cs="Arial Unicode MS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2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2C4E"/>
    <w:rPr>
      <w:rFonts w:ascii="Calibri" w:hAnsi="Calibri" w:cs="Arial Unicode MS"/>
      <w:color w:val="00000A"/>
      <w:sz w:val="24"/>
      <w:szCs w:val="24"/>
      <w:u w:color="00000A"/>
    </w:rPr>
  </w:style>
  <w:style w:type="character" w:styleId="Enfasigrassetto">
    <w:name w:val="Strong"/>
    <w:basedOn w:val="Carpredefinitoparagrafo"/>
    <w:uiPriority w:val="22"/>
    <w:qFormat/>
    <w:rsid w:val="00493016"/>
    <w:rPr>
      <w:b/>
      <w:bCs/>
    </w:rPr>
  </w:style>
  <w:style w:type="character" w:styleId="Enfasicorsivo">
    <w:name w:val="Emphasis"/>
    <w:basedOn w:val="Carpredefinitoparagrafo"/>
    <w:uiPriority w:val="20"/>
    <w:qFormat/>
    <w:rsid w:val="00493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9</cp:revision>
  <dcterms:created xsi:type="dcterms:W3CDTF">2021-04-23T07:22:00Z</dcterms:created>
  <dcterms:modified xsi:type="dcterms:W3CDTF">2021-04-23T07:55:00Z</dcterms:modified>
</cp:coreProperties>
</file>