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A" w:rsidRDefault="00D36A52">
      <w:pPr>
        <w:jc w:val="center"/>
      </w:pPr>
      <w:r>
        <w:rPr>
          <w:rStyle w:val="Nessuno"/>
          <w:sz w:val="20"/>
          <w:szCs w:val="20"/>
        </w:rPr>
        <w:t>VERBALE N. 7 DELLA SEDUTA DEL CDI DEL 11/2/22</w:t>
      </w:r>
    </w:p>
    <w:p w:rsidR="005234DA" w:rsidRDefault="005234DA">
      <w:pPr>
        <w:rPr>
          <w:rStyle w:val="Nessuno"/>
          <w:b/>
          <w:bCs/>
          <w:sz w:val="20"/>
          <w:szCs w:val="20"/>
          <w:u w:val="single"/>
        </w:rPr>
      </w:pP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  <w:u w:val="single"/>
        </w:rPr>
        <w:t xml:space="preserve">Il giorno 11 febbraio </w:t>
      </w:r>
      <w:r>
        <w:rPr>
          <w:rStyle w:val="Nessuno"/>
          <w:rFonts w:ascii="Times New Roman" w:hAnsi="Times New Roman"/>
          <w:u w:val="single"/>
        </w:rPr>
        <w:t xml:space="preserve"> dalle ore 15:00 alle 17:30 nei locali dell</w:t>
      </w:r>
      <w:r>
        <w:rPr>
          <w:rStyle w:val="Nessuno"/>
          <w:rFonts w:ascii="Times New Roman" w:hAnsi="Times New Roman"/>
          <w:u w:val="single"/>
        </w:rPr>
        <w:t>’</w:t>
      </w:r>
      <w:r>
        <w:rPr>
          <w:rStyle w:val="Nessuno"/>
          <w:rFonts w:ascii="Times New Roman" w:hAnsi="Times New Roman"/>
          <w:u w:val="single"/>
        </w:rPr>
        <w:t xml:space="preserve">Istituto </w:t>
      </w:r>
      <w:proofErr w:type="spellStart"/>
      <w:r>
        <w:rPr>
          <w:rStyle w:val="Nessuno"/>
          <w:rFonts w:ascii="Times New Roman" w:hAnsi="Times New Roman"/>
          <w:u w:val="single"/>
        </w:rPr>
        <w:t>Comandini</w:t>
      </w:r>
      <w:proofErr w:type="spellEnd"/>
      <w:r>
        <w:rPr>
          <w:rStyle w:val="Nessuno"/>
          <w:rFonts w:ascii="Times New Roman" w:hAnsi="Times New Roman"/>
          <w:u w:val="single"/>
        </w:rPr>
        <w:t xml:space="preserve">  si </w:t>
      </w:r>
      <w:r>
        <w:rPr>
          <w:rStyle w:val="Nessuno"/>
          <w:rFonts w:ascii="Times New Roman" w:hAnsi="Times New Roman"/>
          <w:u w:val="single"/>
        </w:rPr>
        <w:t xml:space="preserve">è </w:t>
      </w:r>
      <w:r>
        <w:rPr>
          <w:rStyle w:val="Nessuno"/>
          <w:rFonts w:ascii="Times New Roman" w:hAnsi="Times New Roman"/>
          <w:u w:val="single"/>
        </w:rPr>
        <w:t>svolto in presenza il Consiglio di Istituto, per discutere il seguente ordine del giorno</w:t>
      </w:r>
    </w:p>
    <w:p w:rsidR="005234DA" w:rsidRDefault="0052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D36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 xml:space="preserve">Lettura e </w:t>
      </w:r>
      <w:proofErr w:type="spellStart"/>
      <w:r>
        <w:rPr>
          <w:rStyle w:val="Nessuno"/>
          <w:rFonts w:ascii="Times New Roman" w:hAnsi="Times New Roman"/>
          <w:kern w:val="1"/>
        </w:rPr>
        <w:t>approvazione</w:t>
      </w:r>
      <w:r>
        <w:rPr>
          <w:rStyle w:val="Nessuno"/>
          <w:rFonts w:ascii="Times New Roman" w:hAnsi="Times New Roman"/>
          <w:kern w:val="1"/>
        </w:rPr>
        <w:t>verbale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seduta  precedente; 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Approvazione Programma Annuale 2022;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Approvazione PTOF 22/25 come deliberato e elaborato dal collegio docenti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 xml:space="preserve">Informazione su iscrizioni-classi </w:t>
      </w:r>
      <w:proofErr w:type="spellStart"/>
      <w:r>
        <w:rPr>
          <w:rStyle w:val="Nessuno"/>
          <w:rFonts w:ascii="Times New Roman" w:hAnsi="Times New Roman"/>
          <w:kern w:val="1"/>
        </w:rPr>
        <w:t>a.s.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21-22 e lavori plesso Pascal commissionati dalla Provincia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Relazione sui contr</w:t>
      </w:r>
      <w:r>
        <w:rPr>
          <w:rStyle w:val="Nessuno"/>
          <w:rFonts w:ascii="Times New Roman" w:hAnsi="Times New Roman"/>
          <w:kern w:val="1"/>
        </w:rPr>
        <w:t>ibuti scolastici della DSGA e relativa decisione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provvedimenti disciplinari per alunni deferiti al CDI</w:t>
      </w:r>
    </w:p>
    <w:p w:rsidR="005234DA" w:rsidRDefault="00D36A5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Varie ed eventuali dai consiglieri/e</w:t>
      </w:r>
    </w:p>
    <w:p w:rsidR="005234DA" w:rsidRDefault="0052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right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Risultano assenti giustificati:  Lisa Pagano</w:t>
      </w: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Sono inoltre presenti come uditori, per la componente alunni, </w:t>
      </w:r>
      <w:proofErr w:type="spellStart"/>
      <w:r>
        <w:rPr>
          <w:rStyle w:val="Nessuno"/>
          <w:rFonts w:ascii="Times New Roman" w:hAnsi="Times New Roman"/>
        </w:rPr>
        <w:t>Werpers</w:t>
      </w:r>
      <w:proofErr w:type="spellEnd"/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</w:rPr>
        <w:t xml:space="preserve">Lasse </w:t>
      </w:r>
      <w:proofErr w:type="spellStart"/>
      <w:r>
        <w:rPr>
          <w:rStyle w:val="Nessuno"/>
          <w:rFonts w:ascii="Times New Roman" w:hAnsi="Times New Roman"/>
        </w:rPr>
        <w:t>Joi</w:t>
      </w:r>
      <w:proofErr w:type="spellEnd"/>
      <w:r>
        <w:rPr>
          <w:rStyle w:val="Nessuno"/>
          <w:rFonts w:ascii="Times New Roman" w:hAnsi="Times New Roman"/>
        </w:rPr>
        <w:t>.</w:t>
      </w: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Verbalizza la seduta la Prof.ssa Daniela Priori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Per il primo punto all</w:t>
      </w:r>
      <w:r>
        <w:rPr>
          <w:rStyle w:val="Nessuno"/>
          <w:rFonts w:ascii="Times New Roman" w:hAnsi="Times New Roman"/>
        </w:rPr>
        <w:t>’</w:t>
      </w:r>
      <w:proofErr w:type="spellStart"/>
      <w:r>
        <w:rPr>
          <w:rStyle w:val="Nessuno"/>
          <w:rFonts w:ascii="Times New Roman" w:hAnsi="Times New Roman"/>
        </w:rPr>
        <w:t>odg</w:t>
      </w:r>
      <w:proofErr w:type="spellEnd"/>
      <w:r>
        <w:rPr>
          <w:rStyle w:val="Nessuno"/>
          <w:rFonts w:ascii="Times New Roman" w:hAnsi="Times New Roman"/>
        </w:rPr>
        <w:t xml:space="preserve"> tutti i consiglieri/e ratificano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approvazione telematica gi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svolta nelle settimane precedenti per cui il verbale </w:t>
      </w:r>
      <w:r>
        <w:rPr>
          <w:rStyle w:val="Nessuno"/>
          <w:rFonts w:ascii="Times New Roman" w:hAnsi="Times New Roman"/>
        </w:rPr>
        <w:t xml:space="preserve">è </w:t>
      </w:r>
      <w:r>
        <w:rPr>
          <w:rStyle w:val="Nessuno"/>
          <w:rFonts w:ascii="Times New Roman" w:hAnsi="Times New Roman"/>
        </w:rPr>
        <w:t>approvato con 2 astenuti e tutti favorevoli</w:t>
      </w:r>
    </w:p>
    <w:p w:rsidR="005234DA" w:rsidRDefault="005234DA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Deliber</w:t>
      </w:r>
      <w:r>
        <w:rPr>
          <w:rStyle w:val="Nessuno"/>
          <w:rFonts w:ascii="Times New Roman" w:hAnsi="Times New Roman"/>
          <w:b/>
          <w:bCs/>
        </w:rPr>
        <w:t>a  1 anno solare 2022</w:t>
      </w:r>
    </w:p>
    <w:p w:rsidR="005234DA" w:rsidRDefault="00D36A52">
      <w:pPr>
        <w:ind w:left="714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Si procede con gli altri punti.</w:t>
      </w:r>
    </w:p>
    <w:p w:rsidR="005234DA" w:rsidRDefault="00D36A52">
      <w:pPr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>
        <w:rPr>
          <w:rStyle w:val="NessunoA"/>
          <w:rFonts w:ascii="Times New Roman" w:hAnsi="Times New Roman"/>
          <w:b/>
          <w:bCs/>
        </w:rPr>
        <w:t>Approvazione Programma Annuale 2022 e modifiche programma 2021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DS illustra, in base a prospetto fatto pervenire dalla DSGA ai consiglieri/e, le modifiche in oggetto e al termine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 xml:space="preserve">illustrazione </w:t>
      </w:r>
      <w:r>
        <w:rPr>
          <w:rStyle w:val="Nessuno"/>
          <w:rFonts w:ascii="Times New Roman" w:hAnsi="Times New Roman"/>
        </w:rPr>
        <w:t>esse vengono approvate all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unanimit</w:t>
      </w:r>
      <w:r>
        <w:rPr>
          <w:rStyle w:val="Nessuno"/>
          <w:rFonts w:ascii="Times New Roman" w:hAnsi="Times New Roman"/>
        </w:rPr>
        <w:t>à</w:t>
      </w:r>
    </w:p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</w:rPr>
        <w:t xml:space="preserve">Viene illustrato il programma annuale 2022 predisposto in base alle disposizioni dell’articolo 5, comma 7 e 8 del Decreto 28 agosto 2018 n. 129, ai relativi orientamenti applicativi </w:t>
      </w:r>
      <w:proofErr w:type="spellStart"/>
      <w:r w:rsidRPr="00D36A52">
        <w:rPr>
          <w:rStyle w:val="Nessuno"/>
          <w:rFonts w:ascii="Times New Roman" w:hAnsi="Times New Roman" w:cs="Times New Roman"/>
        </w:rPr>
        <w:t>Miur</w:t>
      </w:r>
      <w:proofErr w:type="spellEnd"/>
      <w:r w:rsidRPr="00D36A52">
        <w:rPr>
          <w:rStyle w:val="Nessuno"/>
          <w:rFonts w:ascii="Times New Roman" w:hAnsi="Times New Roman" w:cs="Times New Roman"/>
        </w:rPr>
        <w:t xml:space="preserve"> del 05.01.19, </w:t>
      </w:r>
      <w:proofErr w:type="spellStart"/>
      <w:r w:rsidRPr="00D36A52">
        <w:rPr>
          <w:rStyle w:val="Nessuno"/>
          <w:rFonts w:ascii="Times New Roman" w:hAnsi="Times New Roman" w:cs="Times New Roman"/>
        </w:rPr>
        <w:t>prot</w:t>
      </w:r>
      <w:proofErr w:type="spellEnd"/>
      <w:r w:rsidRPr="00D36A52">
        <w:rPr>
          <w:rStyle w:val="Nessuno"/>
          <w:rFonts w:ascii="Times New Roman" w:hAnsi="Times New Roman" w:cs="Times New Roman"/>
        </w:rPr>
        <w:t xml:space="preserve">. n. 74,  alla nota del MIUR  </w:t>
      </w:r>
      <w:proofErr w:type="spellStart"/>
      <w:r w:rsidRPr="00D36A52">
        <w:rPr>
          <w:rStyle w:val="Nessuno"/>
          <w:rFonts w:ascii="Times New Roman" w:hAnsi="Times New Roman" w:cs="Times New Roman"/>
        </w:rPr>
        <w:t>prot</w:t>
      </w:r>
      <w:proofErr w:type="spellEnd"/>
      <w:r w:rsidRPr="00D36A52">
        <w:rPr>
          <w:rStyle w:val="Nessuno"/>
          <w:rFonts w:ascii="Times New Roman" w:hAnsi="Times New Roman" w:cs="Times New Roman"/>
        </w:rPr>
        <w:t xml:space="preserve">. n. </w:t>
      </w:r>
      <w:r w:rsidRPr="00D36A52">
        <w:rPr>
          <w:rFonts w:ascii="Times New Roman" w:hAnsi="Times New Roman" w:cs="Times New Roman"/>
        </w:rPr>
        <w:t>21503</w:t>
      </w:r>
      <w:r w:rsidRPr="00D36A52">
        <w:rPr>
          <w:rStyle w:val="Nessuno"/>
          <w:rFonts w:ascii="Times New Roman" w:hAnsi="Times New Roman" w:cs="Times New Roman"/>
        </w:rPr>
        <w:t xml:space="preserve">   del 30.09.21 e per il quale i Revisori dei Conti  hanno dato parere positivo.</w:t>
      </w:r>
    </w:p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</w:rPr>
        <w:t xml:space="preserve">Il Consiglio d’Istituto, all’unanimità, delibera </w:t>
      </w:r>
    </w:p>
    <w:p w:rsidR="00D36A52" w:rsidRPr="00D36A52" w:rsidRDefault="00D36A52" w:rsidP="00D36A52">
      <w:pPr>
        <w:rPr>
          <w:rStyle w:val="Nessuno"/>
          <w:rFonts w:ascii="Times New Roman" w:hAnsi="Times New Roman" w:cs="Times New Roman"/>
        </w:rPr>
      </w:pPr>
    </w:p>
    <w:p w:rsidR="00D36A52" w:rsidRPr="00D36A52" w:rsidRDefault="00D36A52" w:rsidP="00D36A52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</w:rPr>
        <w:t>di approvare il Programma annuale per l'anno 2022 che presenta le seguenti risultanze riepilogative:</w:t>
      </w:r>
    </w:p>
    <w:p w:rsidR="00D36A52" w:rsidRPr="00D36A52" w:rsidRDefault="00D36A52" w:rsidP="00D36A52">
      <w:pPr>
        <w:pStyle w:val="Paragrafoelenco"/>
        <w:rPr>
          <w:rStyle w:val="Nessuno"/>
          <w:rFonts w:ascii="Times New Roman" w:hAnsi="Times New Roman" w:cs="Times New Roman"/>
        </w:rPr>
      </w:pPr>
    </w:p>
    <w:tbl>
      <w:tblPr>
        <w:tblW w:w="90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20"/>
        <w:gridCol w:w="920"/>
        <w:gridCol w:w="6100"/>
        <w:gridCol w:w="1220"/>
      </w:tblGrid>
      <w:tr w:rsidR="00D36A52" w:rsidRPr="00D36A52" w:rsidTr="00D36A52">
        <w:trPr>
          <w:trHeight w:val="317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Livello 1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Livello 2</w:t>
            </w: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ENTRATE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  <w:t>(Importi in euro)</w:t>
            </w:r>
          </w:p>
        </w:tc>
      </w:tr>
      <w:tr w:rsidR="00D36A52" w:rsidRPr="00D36A52" w:rsidTr="00D36A5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</w:pP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Avanzo di amministrazione presunto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423.404,10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Non vincolato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77.808,04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Vincolato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345.596,06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Finanziamenti dall'Unione Europea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Fondi sociali europei (FSE)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Fondi europei di sviluppo regionale (FESR)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finanziamenti dall'Unione Europea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Finanziamenti dallo Stato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74.378,16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Dotazione ordinaria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41.448,66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Dotazione perequativa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Finanziamenti per l'ampliamento dell'offerta formativa (ex. L. 440/97)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Fondo per lo sviluppo e la coesione (FSC)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finanziamenti non vincolati dallo Stato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finanziamenti vincolati dallo Stato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32.929,50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Finanziamenti dalla Regione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Dotazione ordinaria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Dotazione perequativa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finanziamenti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finanziamenti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Finanziamenti da Enti locali o da altre Istituzioni pubbliche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17.696,40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Provincia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Provincia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Comune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Comune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Altre Istituzioni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Altre Istituzioni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17.696,40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Contributi da privati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129.240,41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volontari da famiglie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65.000,00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per iscrizione alunni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per mensa scolastica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per visite, viaggi e programmi di studio all'estero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60.000,00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per copertura assicurativa degli alunni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per copertura assicurativa personale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1.500,00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contributi da famiglie non vincolati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da imprese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da Istituzioni sociali private non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Altri contributi da famiglie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2.740,41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da imprese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Contributi da Istituzioni sociali private vincolati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Proventi da gestioni economiche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Agraria - Proventi dalla vendita di beni di consumo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Agraria - Proventi dalla vendita di servizi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Speciale - Proventi dalla vendita di beni di consumo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Speciale - Proventi dalla vendita di servizi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Attività per conto terzi - Proventi dalla vendita di beni di consumo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Attività per conto terzi - Proventi dalla vendita di servizi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Attività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convittuale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Rimborsi e restituzione somme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Amministrazioni Centrali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Amministrazioni Locali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Enti Previdenziali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Famiglie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Imprese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52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Rimborsi, recuperi e restituzioni di somme non dovute o incassate in eccesso da ISP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Alienazione di beni materiali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Mezzi di trasporto stradali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Mezzi di trasporto aerei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Mezzi di trasporto per vie d'acqua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mobili e arredi per ufficio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mobili e arredi per alloggi e pertinenze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mobili e arredi per laboratori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Alienazione di mobili e arredi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n.a.c.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Macchinari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impianti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attrezzature scientifiche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macchine per ufficio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server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postazioni di lavoro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periferiche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apparati di telecomunicazione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Alienazione di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Tablet</w:t>
            </w:r>
            <w:proofErr w:type="spellEnd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 e dispositivi di telefonia fissa e mobile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Alienazione di hardware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n.a.c.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Oggetti di valore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diritti reali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Materiale bibliografico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Strumenti musicali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Alienazioni di beni materiali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n.a.c.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Alienazione di beni immateriali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software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Brevetti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Alienazione di Opere dell'ingegno e Diritti d'autore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Alienazione di altri beni immateriali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n.a.c.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Sponsor e utilizzo locali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Proventi derivanti dalle sponsorizzazioni 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Diritti reali di godimento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Canone occupazione spazi e aree pubbliche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Proventi da concessioni su beni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Altre entrate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0,01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Interessi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Interessi attivi da Banca d'Italia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0,01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Altre entrate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n.a.c.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Mutui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Mutui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7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Anticipazioni da Istituto cassiere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 </w:t>
            </w:r>
          </w:p>
        </w:tc>
      </w:tr>
      <w:tr w:rsidR="00D36A52" w:rsidRPr="00D36A52" w:rsidTr="00D36A52">
        <w:trPr>
          <w:trHeight w:val="276"/>
        </w:trPr>
        <w:tc>
          <w:tcPr>
            <w:tcW w:w="92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92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Totale entrate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644.719,08</w:t>
            </w:r>
          </w:p>
        </w:tc>
      </w:tr>
      <w:tr w:rsidR="00D36A52" w:rsidRPr="00D36A52" w:rsidTr="00D36A52">
        <w:trPr>
          <w:trHeight w:val="276"/>
        </w:trPr>
        <w:tc>
          <w:tcPr>
            <w:tcW w:w="92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10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36A52" w:rsidRPr="00D36A52" w:rsidTr="00D36A52">
        <w:trPr>
          <w:trHeight w:val="317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Livello 1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Livello 2</w:t>
            </w:r>
          </w:p>
        </w:tc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SPESE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  <w:t>(Importi in euro)</w:t>
            </w:r>
          </w:p>
        </w:tc>
      </w:tr>
      <w:tr w:rsidR="00D36A52" w:rsidRPr="00D36A52" w:rsidTr="00D36A5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A52" w:rsidRPr="00D36A52" w:rsidRDefault="00D36A52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 w:frame="1"/>
                <w:lang w:eastAsia="en-US"/>
              </w:rPr>
            </w:pP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Attività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504.189,39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Funzionamento generale e decoro della Scuola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76.997,60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Funzionamento amministrativo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23.000,00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Didattica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185.265,56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Alternanza Scuola-Lavoro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30.112,46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Visite, viaggi e programmi di studio all'estero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186.813,77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A6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Attività di orientamento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2.000,00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Progetti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107.081,30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Progetti in ambito "Scientifico, tecnico e professionale"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471,56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Progetti in ambito "Umanistico e sociale"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19.713,63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Progetti per "Certificazioni e corsi professionali"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3.000,00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Progetti per "Formazione / aggiornamento personale"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78.101,00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P5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Progetti per "Gare e concorsi"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5.795,11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Gestioni economiche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agraria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Azienda speciale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Attività per conto terzi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G4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Attività </w:t>
            </w:r>
            <w:proofErr w:type="spellStart"/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convittuale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Fondo di riserva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2.000,00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R98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Fondo di riserva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2.000,00</w:t>
            </w:r>
          </w:p>
        </w:tc>
      </w:tr>
      <w:tr w:rsidR="00D36A52" w:rsidRPr="00D36A52" w:rsidTr="00D36A52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Disavanzo di amministrazione presunto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7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D100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Disavanzo di amministrazione presunto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0,00</w:t>
            </w:r>
          </w:p>
        </w:tc>
      </w:tr>
      <w:tr w:rsidR="00D36A52" w:rsidRPr="00D36A52" w:rsidTr="00D36A52">
        <w:trPr>
          <w:trHeight w:val="276"/>
        </w:trPr>
        <w:tc>
          <w:tcPr>
            <w:tcW w:w="794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Totale spese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613.270,69</w:t>
            </w:r>
          </w:p>
        </w:tc>
      </w:tr>
      <w:tr w:rsidR="00D36A52" w:rsidRPr="00D36A52" w:rsidTr="00D36A52">
        <w:trPr>
          <w:trHeight w:val="276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Z101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eastAsia="en-US"/>
              </w:rPr>
              <w:t>Disponibilità Finanziaria da programmare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31.448,39</w:t>
            </w:r>
          </w:p>
        </w:tc>
      </w:tr>
      <w:tr w:rsidR="00D36A52" w:rsidRPr="00D36A52" w:rsidTr="00D36A52">
        <w:trPr>
          <w:trHeight w:val="276"/>
        </w:trPr>
        <w:tc>
          <w:tcPr>
            <w:tcW w:w="79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Totale a pareggio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A52" w:rsidRPr="00D36A52" w:rsidRDefault="00D36A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  <w:r w:rsidRPr="00D36A5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644.719,08</w:t>
            </w:r>
          </w:p>
        </w:tc>
      </w:tr>
    </w:tbl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</w:p>
    <w:p w:rsidR="00D36A52" w:rsidRPr="00D36A52" w:rsidRDefault="00D36A52" w:rsidP="00D36A52">
      <w:pPr>
        <w:rPr>
          <w:rFonts w:ascii="Times New Roman" w:hAnsi="Times New Roman" w:cs="Times New Roman"/>
        </w:rPr>
      </w:pPr>
    </w:p>
    <w:p w:rsidR="00D36A52" w:rsidRPr="00D36A52" w:rsidRDefault="00D36A52" w:rsidP="00D36A52">
      <w:pPr>
        <w:pStyle w:val="Paragrafoelenco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hAnsi="Times New Roman" w:cs="Times New Roman"/>
        </w:rPr>
      </w:pPr>
      <w:r w:rsidRPr="00D36A52">
        <w:rPr>
          <w:rFonts w:ascii="Times New Roman" w:hAnsi="Times New Roman" w:cs="Times New Roman"/>
        </w:rPr>
        <w:t>di fissare il limite per l’utilizzazione della carta di credito, ai sensi dell’art. 19, c. 1 del Regol</w:t>
      </w:r>
      <w:r w:rsidRPr="00D36A52">
        <w:rPr>
          <w:rFonts w:ascii="Times New Roman" w:hAnsi="Times New Roman" w:cs="Times New Roman"/>
        </w:rPr>
        <w:t>a</w:t>
      </w:r>
      <w:r w:rsidRPr="00D36A52">
        <w:rPr>
          <w:rFonts w:ascii="Times New Roman" w:hAnsi="Times New Roman" w:cs="Times New Roman"/>
        </w:rPr>
        <w:t>mento di cui al D.I. 129/2018, nell’importo massimo annuale di € 40.000,00.</w:t>
      </w:r>
    </w:p>
    <w:p w:rsidR="00D36A52" w:rsidRPr="00D36A52" w:rsidRDefault="00D36A52" w:rsidP="00D36A52">
      <w:pPr>
        <w:jc w:val="right"/>
        <w:rPr>
          <w:rFonts w:ascii="Times New Roman" w:hAnsi="Times New Roman" w:cs="Times New Roman"/>
          <w:b/>
        </w:rPr>
      </w:pPr>
      <w:r w:rsidRPr="00D36A52">
        <w:rPr>
          <w:rFonts w:ascii="Times New Roman" w:hAnsi="Times New Roman" w:cs="Times New Roman"/>
          <w:b/>
        </w:rPr>
        <w:t>Delibera 2</w:t>
      </w:r>
    </w:p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  <w:b/>
          <w:bCs/>
          <w:u w:val="single"/>
        </w:rPr>
        <w:t xml:space="preserve">Consistenza massima del fondo </w:t>
      </w:r>
      <w:proofErr w:type="spellStart"/>
      <w:r w:rsidRPr="00D36A52">
        <w:rPr>
          <w:rStyle w:val="Nessuno"/>
          <w:rFonts w:ascii="Times New Roman" w:hAnsi="Times New Roman" w:cs="Times New Roman"/>
          <w:b/>
          <w:bCs/>
          <w:u w:val="single"/>
        </w:rPr>
        <w:t>economale</w:t>
      </w:r>
      <w:proofErr w:type="spellEnd"/>
      <w:r w:rsidRPr="00D36A52">
        <w:rPr>
          <w:rStyle w:val="Nessuno"/>
          <w:rFonts w:ascii="Times New Roman" w:hAnsi="Times New Roman" w:cs="Times New Roman"/>
          <w:b/>
          <w:bCs/>
          <w:u w:val="single"/>
        </w:rPr>
        <w:t xml:space="preserve"> per le minute spese nonché fissazione dell'importo massimo di ogni spesa minuta</w:t>
      </w:r>
    </w:p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</w:rPr>
        <w:t xml:space="preserve">Si informa il Consiglio che l’art. 21 del D.I. n.129/2018 dispone che il Consiglio d’istituto deliberi la consistenza massima del fondo </w:t>
      </w:r>
      <w:proofErr w:type="spellStart"/>
      <w:r w:rsidRPr="00D36A52">
        <w:rPr>
          <w:rStyle w:val="Nessuno"/>
          <w:rFonts w:ascii="Times New Roman" w:hAnsi="Times New Roman" w:cs="Times New Roman"/>
        </w:rPr>
        <w:t>economale</w:t>
      </w:r>
      <w:proofErr w:type="spellEnd"/>
      <w:r w:rsidRPr="00D36A52">
        <w:rPr>
          <w:rStyle w:val="Nessuno"/>
          <w:rFonts w:ascii="Times New Roman" w:hAnsi="Times New Roman" w:cs="Times New Roman"/>
        </w:rPr>
        <w:t xml:space="preserve"> per le minute spese nonché fissazione dell'importo massimo di ogni spesa minuta.</w:t>
      </w:r>
    </w:p>
    <w:p w:rsidR="00D36A52" w:rsidRPr="00D36A52" w:rsidRDefault="00D36A52" w:rsidP="00D36A52">
      <w:pPr>
        <w:jc w:val="both"/>
        <w:rPr>
          <w:rStyle w:val="Nessuno"/>
          <w:rFonts w:ascii="Times New Roman" w:hAnsi="Times New Roman" w:cs="Times New Roman"/>
        </w:rPr>
      </w:pPr>
      <w:r w:rsidRPr="00D36A52">
        <w:rPr>
          <w:rStyle w:val="Nessuno"/>
          <w:rFonts w:ascii="Times New Roman" w:hAnsi="Times New Roman" w:cs="Times New Roman"/>
        </w:rPr>
        <w:t xml:space="preserve">Il Consiglio d’Istituto, tenuto conto della proposta avanzata, delibera all’unanimità </w:t>
      </w:r>
      <w:r w:rsidRPr="00D36A52">
        <w:rPr>
          <w:rStyle w:val="Nessuno"/>
          <w:rFonts w:ascii="Times New Roman" w:hAnsi="Times New Roman" w:cs="Times New Roman"/>
          <w:shd w:val="clear" w:color="auto" w:fill="FFFFFF"/>
        </w:rPr>
        <w:t xml:space="preserve">senza astenuti né contrari, </w:t>
      </w:r>
      <w:r w:rsidRPr="00D36A52">
        <w:rPr>
          <w:rStyle w:val="Nessuno"/>
          <w:rFonts w:ascii="Times New Roman" w:hAnsi="Times New Roman" w:cs="Times New Roman"/>
        </w:rPr>
        <w:t xml:space="preserve">la consistenza massima annuale del fondo </w:t>
      </w:r>
      <w:proofErr w:type="spellStart"/>
      <w:r w:rsidRPr="00D36A52">
        <w:rPr>
          <w:rStyle w:val="Nessuno"/>
          <w:rFonts w:ascii="Times New Roman" w:hAnsi="Times New Roman" w:cs="Times New Roman"/>
        </w:rPr>
        <w:t>economale</w:t>
      </w:r>
      <w:proofErr w:type="spellEnd"/>
      <w:r w:rsidRPr="00D36A52">
        <w:rPr>
          <w:rStyle w:val="Nessuno"/>
          <w:rFonts w:ascii="Times New Roman" w:hAnsi="Times New Roman" w:cs="Times New Roman"/>
        </w:rPr>
        <w:t xml:space="preserve"> per le minute spese in euro 5.000,00 e l'importo massimo di ogni spesa minuta in euro 500,00.</w:t>
      </w:r>
    </w:p>
    <w:p w:rsidR="00D36A52" w:rsidRPr="00D36A52" w:rsidRDefault="00D36A52" w:rsidP="00D36A52">
      <w:pPr>
        <w:jc w:val="right"/>
        <w:rPr>
          <w:rFonts w:ascii="Times New Roman" w:hAnsi="Times New Roman" w:cs="Times New Roman"/>
          <w:b/>
        </w:rPr>
      </w:pPr>
      <w:r w:rsidRPr="00D36A52">
        <w:rPr>
          <w:rFonts w:ascii="Times New Roman" w:hAnsi="Times New Roman" w:cs="Times New Roman"/>
          <w:b/>
        </w:rPr>
        <w:t>Delibera</w:t>
      </w:r>
      <w:r>
        <w:rPr>
          <w:rFonts w:ascii="Times New Roman" w:hAnsi="Times New Roman" w:cs="Times New Roman"/>
          <w:b/>
        </w:rPr>
        <w:t xml:space="preserve"> n. 3</w:t>
      </w:r>
    </w:p>
    <w:p w:rsidR="00D36A52" w:rsidRDefault="00D36A52">
      <w:pPr>
        <w:jc w:val="both"/>
        <w:rPr>
          <w:rStyle w:val="Nessuno"/>
          <w:rFonts w:ascii="Times New Roman" w:hAnsi="Times New Roman"/>
        </w:rPr>
      </w:pPr>
    </w:p>
    <w:p w:rsidR="005234DA" w:rsidRDefault="00D36A52">
      <w:pPr>
        <w:jc w:val="both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</w:rPr>
        <w:t>Il consiglio d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Istituto, inoltre, d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mandato alla </w:t>
      </w:r>
      <w:proofErr w:type="spellStart"/>
      <w:r>
        <w:rPr>
          <w:rStyle w:val="Nessuno"/>
          <w:rFonts w:ascii="Times New Roman" w:hAnsi="Times New Roman"/>
        </w:rPr>
        <w:t>D.S.G.A</w:t>
      </w:r>
      <w:proofErr w:type="spellEnd"/>
      <w:r>
        <w:rPr>
          <w:rStyle w:val="Nessuno"/>
          <w:rFonts w:ascii="Times New Roman" w:hAnsi="Times New Roman"/>
        </w:rPr>
        <w:t xml:space="preserve"> di effettuare anche le opportune modifi</w:t>
      </w:r>
      <w:r>
        <w:rPr>
          <w:rStyle w:val="Nessuno"/>
          <w:rFonts w:ascii="Times New Roman" w:hAnsi="Times New Roman"/>
        </w:rPr>
        <w:t>che dei conti e sotto conti di spesa nei vari aggregati.</w:t>
      </w:r>
    </w:p>
    <w:p w:rsidR="00D36A52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</w:rPr>
        <w:t xml:space="preserve">3. </w:t>
      </w:r>
      <w:r>
        <w:rPr>
          <w:rStyle w:val="Nessuno"/>
          <w:rFonts w:ascii="Times New Roman" w:hAnsi="Times New Roman"/>
          <w:b/>
          <w:bCs/>
        </w:rPr>
        <w:t>Approvazione PTOF 22/25 come deliberato e elaborato dal collegio docenti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DS illustra brevemente il PTOF, gi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inviato via mail nelle settimane precedenti, e lo stesso dopo breve discu</w:t>
      </w:r>
      <w:r>
        <w:rPr>
          <w:rStyle w:val="Nessuno"/>
          <w:rFonts w:ascii="Times New Roman" w:hAnsi="Times New Roman"/>
        </w:rPr>
        <w:t>ssione viene approvato all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unanimit</w:t>
      </w:r>
      <w:r>
        <w:rPr>
          <w:rStyle w:val="Nessuno"/>
          <w:rFonts w:ascii="Times New Roman" w:hAnsi="Times New Roman"/>
        </w:rPr>
        <w:t>à</w:t>
      </w:r>
    </w:p>
    <w:p w:rsidR="005234DA" w:rsidRDefault="00D36A52">
      <w:pPr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delibera 4</w:t>
      </w:r>
    </w:p>
    <w:p w:rsidR="005234DA" w:rsidRDefault="005234DA">
      <w:pPr>
        <w:jc w:val="right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4. Informazione su iscrizioni-classi </w:t>
      </w:r>
      <w:proofErr w:type="spellStart"/>
      <w:r>
        <w:rPr>
          <w:rStyle w:val="Nessuno"/>
          <w:rFonts w:ascii="Times New Roman" w:hAnsi="Times New Roman"/>
          <w:b/>
          <w:bCs/>
        </w:rPr>
        <w:t>a.s.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21-22 e lavori plesso Pascal commissionati dalla Provincia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Il DS informa che lo stato delle iscrizioni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il seguente: 284 iscritti di cui 223 per informatica e 61 pe</w:t>
      </w:r>
      <w:r>
        <w:rPr>
          <w:rStyle w:val="Nessuno"/>
          <w:rFonts w:ascii="Times New Roman" w:hAnsi="Times New Roman"/>
          <w:kern w:val="1"/>
        </w:rPr>
        <w:t>r automazione</w:t>
      </w: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 E 98 all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IPSIA di cui 49 in meccanica, 19 in 1E, 11 in 1G e 19 in 1M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Calcolando i tassi di alunni ripetenti </w:t>
      </w:r>
      <w:proofErr w:type="spellStart"/>
      <w:r>
        <w:rPr>
          <w:rStyle w:val="Nessuno"/>
          <w:rFonts w:ascii="Times New Roman" w:hAnsi="Times New Roman"/>
          <w:kern w:val="1"/>
        </w:rPr>
        <w:t>reiscritti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e ingressi da fuori si ha il seguente prospetto:</w:t>
      </w:r>
    </w:p>
    <w:tbl>
      <w:tblPr>
        <w:tblStyle w:val="TableNormal"/>
        <w:tblW w:w="645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808"/>
        <w:gridCol w:w="763"/>
        <w:gridCol w:w="967"/>
        <w:gridCol w:w="1060"/>
        <w:gridCol w:w="878"/>
        <w:gridCol w:w="1115"/>
      </w:tblGrid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lastRenderedPageBreak/>
              <w:t>INDIRI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Z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ZI E/O CORSI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N. CLASSI (A)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TOT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A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 xml:space="preserve">LE 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A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LUNNI (I)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proofErr w:type="spellStart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DI</w:t>
            </w:r>
            <w:proofErr w:type="spellEnd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 xml:space="preserve"> CUI IN SITUAZ. </w:t>
            </w:r>
            <w:proofErr w:type="spellStart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DI</w:t>
            </w:r>
            <w:proofErr w:type="spellEnd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 xml:space="preserve"> HA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N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DICAP (L)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proofErr w:type="spellStart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N.CLASSI</w:t>
            </w:r>
            <w:proofErr w:type="spellEnd"/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 xml:space="preserve"> richieste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N. CLASSI ART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I</w:t>
            </w: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COL.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16"/>
                <w:szCs w:val="16"/>
              </w:rPr>
              <w:t>media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1A-B-C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23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26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27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2A-B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EFB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26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29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26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23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4A-B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20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28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18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5A-B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18,5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21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IP13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17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6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totale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right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</w:t>
            </w: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right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AAAAAA"/>
              <w:bottom w:val="nil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4" w:space="0" w:color="AAAAAA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</w:tbl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" w:hanging="2"/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Mentre per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ITI</w:t>
      </w:r>
    </w:p>
    <w:tbl>
      <w:tblPr>
        <w:tblStyle w:val="TableNormal"/>
        <w:tblW w:w="9304" w:type="dxa"/>
        <w:tblInd w:w="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0"/>
        <w:gridCol w:w="940"/>
        <w:gridCol w:w="920"/>
        <w:gridCol w:w="1140"/>
        <w:gridCol w:w="964"/>
        <w:gridCol w:w="1580"/>
        <w:gridCol w:w="2720"/>
      </w:tblGrid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5234DA"/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r>
              <w:rPr>
                <w:rStyle w:val="Nessuno"/>
                <w:rFonts w:ascii="Arial" w:hAnsi="Arial"/>
                <w:sz w:val="16"/>
                <w:szCs w:val="16"/>
              </w:rPr>
              <w:t>INDIRIZZI E/O CORSI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r>
              <w:rPr>
                <w:rStyle w:val="Nessuno"/>
                <w:rFonts w:ascii="Arial" w:hAnsi="Arial"/>
                <w:sz w:val="16"/>
                <w:szCs w:val="16"/>
              </w:rPr>
              <w:t>N. CLASSI (A)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r>
              <w:rPr>
                <w:rStyle w:val="Nessuno"/>
                <w:rFonts w:ascii="Arial" w:hAnsi="Arial"/>
                <w:sz w:val="16"/>
                <w:szCs w:val="16"/>
              </w:rPr>
              <w:t>TOTALE ALUNNI (I)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proofErr w:type="spellStart"/>
            <w:r>
              <w:rPr>
                <w:rStyle w:val="Nessuno"/>
                <w:rFonts w:ascii="Arial" w:hAnsi="Arial"/>
                <w:sz w:val="16"/>
                <w:szCs w:val="16"/>
              </w:rPr>
              <w:t>DI</w:t>
            </w:r>
            <w:proofErr w:type="spellEnd"/>
            <w:r>
              <w:rPr>
                <w:rStyle w:val="Nessuno"/>
                <w:rFonts w:ascii="Arial" w:hAnsi="Arial"/>
                <w:sz w:val="16"/>
                <w:szCs w:val="16"/>
              </w:rPr>
              <w:t xml:space="preserve"> CUI IN SITUAZ. </w:t>
            </w:r>
            <w:proofErr w:type="spellStart"/>
            <w:r>
              <w:rPr>
                <w:rStyle w:val="Nessuno"/>
                <w:rFonts w:ascii="Arial" w:hAnsi="Arial"/>
                <w:sz w:val="16"/>
                <w:szCs w:val="16"/>
              </w:rPr>
              <w:t>DI</w:t>
            </w:r>
            <w:proofErr w:type="spellEnd"/>
            <w:r>
              <w:rPr>
                <w:rStyle w:val="Nessuno"/>
                <w:rFonts w:ascii="Arial" w:hAnsi="Arial"/>
                <w:sz w:val="16"/>
                <w:szCs w:val="16"/>
              </w:rPr>
              <w:t xml:space="preserve"> HANDICAP (L)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r>
              <w:rPr>
                <w:rStyle w:val="Nessuno"/>
                <w:rFonts w:ascii="Arial" w:hAnsi="Arial"/>
                <w:sz w:val="16"/>
                <w:szCs w:val="16"/>
              </w:rPr>
              <w:t>CLASSI RICHIESTE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jc w:val="center"/>
            </w:pPr>
            <w:r>
              <w:rPr>
                <w:rStyle w:val="Nessuno"/>
                <w:rFonts w:ascii="Arial" w:hAnsi="Arial"/>
                <w:sz w:val="16"/>
                <w:szCs w:val="16"/>
              </w:rPr>
              <w:t>Media alunni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CLASSI 1</w:t>
            </w: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27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24,7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CLASSI 2</w:t>
            </w: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  <w:shd w:val="clear" w:color="auto" w:fill="FF0000"/>
              </w:rPr>
              <w:t>29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24,71428571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CLASSI 3</w:t>
            </w: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20,66666667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24,5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CLASSI 4</w:t>
            </w: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22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24,75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color w:val="FF0000"/>
                <w:kern w:val="0"/>
                <w:sz w:val="20"/>
                <w:szCs w:val="20"/>
                <w:u w:color="FF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CLASSI 5</w:t>
            </w:r>
            <w:r>
              <w:rPr>
                <w:rStyle w:val="Nessuno"/>
                <w:rFonts w:ascii="Arial" w:hAnsi="Arial"/>
                <w:b/>
                <w:bCs/>
                <w:kern w:val="0"/>
                <w:sz w:val="20"/>
                <w:szCs w:val="20"/>
              </w:rPr>
              <w:t>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20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ITIA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26,5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center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totale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right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  <w:jc w:val="right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suppressAutoHyphens w:val="0"/>
            </w:pPr>
            <w:r>
              <w:rPr>
                <w:rStyle w:val="Nessuno"/>
                <w:rFonts w:ascii="Arial" w:hAnsi="Arial"/>
                <w:kern w:val="0"/>
                <w:sz w:val="20"/>
                <w:szCs w:val="20"/>
              </w:rPr>
              <w:t> </w:t>
            </w:r>
          </w:p>
        </w:tc>
      </w:tr>
    </w:tbl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73" w:hanging="173"/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65" w:hanging="65"/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5234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Il Ds osserva che si tratta di tassi</w:t>
      </w:r>
      <w:r>
        <w:rPr>
          <w:rStyle w:val="Nessuno"/>
          <w:rFonts w:ascii="Times New Roman" w:hAnsi="Times New Roman"/>
          <w:kern w:val="1"/>
        </w:rPr>
        <w:t xml:space="preserve"> in fortissima crescita, superiori anche al record messo da entrambi i plessi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 xml:space="preserve">anno scorso. Un trend che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confermato anche a livello nazionale e regionale, considerando che in Regione pi</w:t>
      </w:r>
      <w:r>
        <w:rPr>
          <w:rStyle w:val="Nessuno"/>
          <w:rFonts w:ascii="Times New Roman" w:hAnsi="Times New Roman"/>
          <w:kern w:val="1"/>
        </w:rPr>
        <w:t xml:space="preserve">ù </w:t>
      </w:r>
      <w:r>
        <w:rPr>
          <w:rStyle w:val="Nessuno"/>
          <w:rFonts w:ascii="Times New Roman" w:hAnsi="Times New Roman"/>
          <w:kern w:val="1"/>
        </w:rPr>
        <w:t>del 50% degli iscritti ha scelto istituti tecnici o professionali.</w:t>
      </w:r>
      <w:r>
        <w:rPr>
          <w:rStyle w:val="Nessuno"/>
          <w:rFonts w:ascii="Times New Roman" w:hAnsi="Times New Roman"/>
          <w:kern w:val="1"/>
        </w:rPr>
        <w:t xml:space="preserve"> 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Per quanto riguarda il 22/23, le 25 classi del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richiedono un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aula in pi</w:t>
      </w:r>
      <w:r>
        <w:rPr>
          <w:rStyle w:val="Nessuno"/>
          <w:rFonts w:ascii="Times New Roman" w:hAnsi="Times New Roman"/>
          <w:kern w:val="1"/>
        </w:rPr>
        <w:t xml:space="preserve">ù </w:t>
      </w:r>
      <w:r>
        <w:rPr>
          <w:rStyle w:val="Nessuno"/>
          <w:rFonts w:ascii="Times New Roman" w:hAnsi="Times New Roman"/>
          <w:kern w:val="1"/>
        </w:rPr>
        <w:t>che si pensa di ricavare dalla aula avanti-biblioteca, lasciando pertanto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ITS al suo posto e utilizzando la polivalente per gli spazi di studio assistito e altre esigenz</w:t>
      </w:r>
      <w:r>
        <w:rPr>
          <w:rStyle w:val="Nessuno"/>
          <w:rFonts w:ascii="Times New Roman" w:hAnsi="Times New Roman"/>
          <w:kern w:val="1"/>
        </w:rPr>
        <w:t>e.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Per il Pascal si prevedono 9 classi automazione al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>.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aula in pi</w:t>
      </w:r>
      <w:r>
        <w:rPr>
          <w:rStyle w:val="Nessuno"/>
          <w:rFonts w:ascii="Times New Roman" w:hAnsi="Times New Roman"/>
          <w:kern w:val="1"/>
        </w:rPr>
        <w:t xml:space="preserve">ù </w:t>
      </w:r>
      <w:r>
        <w:rPr>
          <w:rStyle w:val="Nessuno"/>
          <w:rFonts w:ascii="Times New Roman" w:hAnsi="Times New Roman"/>
          <w:kern w:val="1"/>
        </w:rPr>
        <w:t>che serve si pensa di recuperarla tramite rotazione coi laboratori 11, 3 e 17.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Infine al plesso Pascal/Plauto si prevedono 34 classi, e si considera di avere gli spazi aula e la</w:t>
      </w:r>
      <w:r>
        <w:rPr>
          <w:rStyle w:val="Nessuno"/>
          <w:rFonts w:ascii="Times New Roman" w:hAnsi="Times New Roman"/>
          <w:kern w:val="1"/>
        </w:rPr>
        <w:t>boratori sfruttano le 32 aula dell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ala sud e plesso Plauto pi</w:t>
      </w:r>
      <w:r>
        <w:rPr>
          <w:rStyle w:val="Nessuno"/>
          <w:rFonts w:ascii="Times New Roman" w:hAnsi="Times New Roman"/>
          <w:kern w:val="1"/>
        </w:rPr>
        <w:t xml:space="preserve">ù </w:t>
      </w:r>
      <w:r>
        <w:rPr>
          <w:rStyle w:val="Nessuno"/>
          <w:rFonts w:ascii="Times New Roman" w:hAnsi="Times New Roman"/>
          <w:kern w:val="1"/>
        </w:rPr>
        <w:t>due spazi al circolo tennis, che sono quelli consueti.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Il DS Informa poi che i lavori commissionati dalla provincia presso Ala Sud istituto Pascal sono in fase di definitiva conclusione.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Su pal</w:t>
      </w:r>
      <w:r>
        <w:rPr>
          <w:rStyle w:val="Nessuno"/>
          <w:rFonts w:ascii="Times New Roman" w:hAnsi="Times New Roman"/>
          <w:kern w:val="1"/>
        </w:rPr>
        <w:t xml:space="preserve">estra Pascal si chiuderanno entro il 31/8 le procedure di aggiudicazione dei lavori in appalto, mentre su avvio lavori Ala Nord la scadenza per aggiudicazione bando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31/12 quindi significa che i cantieri non partiranno prima di marzo. Ci</w:t>
      </w:r>
      <w:r>
        <w:rPr>
          <w:rStyle w:val="Nessuno"/>
          <w:rFonts w:ascii="Times New Roman" w:hAnsi="Times New Roman"/>
          <w:kern w:val="1"/>
        </w:rPr>
        <w:t xml:space="preserve">ò è </w:t>
      </w:r>
      <w:r>
        <w:rPr>
          <w:rStyle w:val="Nessuno"/>
          <w:rFonts w:ascii="Times New Roman" w:hAnsi="Times New Roman"/>
          <w:kern w:val="1"/>
        </w:rPr>
        <w:t>stato comunica</w:t>
      </w:r>
      <w:r>
        <w:rPr>
          <w:rStyle w:val="Nessuno"/>
          <w:rFonts w:ascii="Times New Roman" w:hAnsi="Times New Roman"/>
          <w:kern w:val="1"/>
        </w:rPr>
        <w:t>to dal dirigente ufficio fabbricati della provincia durante la riunione dei DS scuole superiori con la provincia del 7/2/22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Pertanto il Ds pone al consiglio di istituto la riflessione, non urgente ma importante, su questi dati in crescita che nel 2023/24 s</w:t>
      </w:r>
      <w:r>
        <w:rPr>
          <w:rStyle w:val="Nessuno"/>
          <w:rFonts w:ascii="Times New Roman" w:hAnsi="Times New Roman"/>
          <w:kern w:val="1"/>
        </w:rPr>
        <w:t>i dovranno confrontare con la chiusura totale dell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 xml:space="preserve">ala Nord del Pascal (di cui attualmente usiamo aula 69 e i </w:t>
      </w:r>
      <w:proofErr w:type="spellStart"/>
      <w:r>
        <w:rPr>
          <w:rStyle w:val="Nessuno"/>
          <w:rFonts w:ascii="Times New Roman" w:hAnsi="Times New Roman"/>
          <w:kern w:val="1"/>
        </w:rPr>
        <w:t>lab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CAD e LT).</w:t>
      </w:r>
    </w:p>
    <w:p w:rsidR="005234DA" w:rsidRDefault="00D36A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Pertanto, tramite la vicepreside </w:t>
      </w:r>
      <w:proofErr w:type="spellStart"/>
      <w:r>
        <w:rPr>
          <w:rStyle w:val="Nessuno"/>
          <w:rFonts w:ascii="Times New Roman" w:hAnsi="Times New Roman"/>
          <w:kern w:val="1"/>
        </w:rPr>
        <w:t>Fusaroli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si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 xml:space="preserve">ipotizzato, per il 23/24, con un numero di prime uguale al 22/23 (quindi mettendosi </w:t>
      </w:r>
      <w:r>
        <w:rPr>
          <w:rStyle w:val="Nessuno"/>
          <w:rFonts w:ascii="Times New Roman" w:hAnsi="Times New Roman"/>
          <w:kern w:val="1"/>
        </w:rPr>
        <w:t>nell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ipotesi conservativa di non aumentare ma restare stabili), una crescita fino a 38 classi nel plesso Pascal/Plauto. E il plesso pu</w:t>
      </w:r>
      <w:r>
        <w:rPr>
          <w:rStyle w:val="Nessuno"/>
          <w:rFonts w:ascii="Times New Roman" w:hAnsi="Times New Roman"/>
          <w:kern w:val="1"/>
        </w:rPr>
        <w:t xml:space="preserve">ò </w:t>
      </w:r>
      <w:r>
        <w:rPr>
          <w:rStyle w:val="Nessuno"/>
          <w:rFonts w:ascii="Times New Roman" w:hAnsi="Times New Roman"/>
          <w:kern w:val="1"/>
        </w:rPr>
        <w:t>contenerne, circolo tennis compreso, fino a 34. Pertanto il DS pone al CDI le possibili alternative soluzioni al problem</w:t>
      </w:r>
      <w:r>
        <w:rPr>
          <w:rStyle w:val="Nessuno"/>
          <w:rFonts w:ascii="Times New Roman" w:hAnsi="Times New Roman"/>
          <w:kern w:val="1"/>
        </w:rPr>
        <w:t>a, se dovesse manifestarsi:</w:t>
      </w:r>
    </w:p>
    <w:p w:rsidR="005234DA" w:rsidRDefault="00D36A52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Doppi turni, che tutti sono concordi a non prendere nemmeno in considerazione</w:t>
      </w:r>
    </w:p>
    <w:p w:rsidR="005234DA" w:rsidRDefault="00D36A52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DAD programmata e alternata a rotazione per poche classi a settimana. Tutti i consiglieri si dichiarano contrari, ma si d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comunque mandato alla prof.</w:t>
      </w:r>
      <w:r>
        <w:rPr>
          <w:rStyle w:val="Nessuno"/>
          <w:rFonts w:ascii="Times New Roman" w:hAnsi="Times New Roman"/>
          <w:kern w:val="1"/>
        </w:rPr>
        <w:t xml:space="preserve">ssa </w:t>
      </w:r>
      <w:proofErr w:type="spellStart"/>
      <w:r>
        <w:rPr>
          <w:rStyle w:val="Nessuno"/>
          <w:rFonts w:ascii="Times New Roman" w:hAnsi="Times New Roman"/>
          <w:kern w:val="1"/>
        </w:rPr>
        <w:t>Fusaroli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di fare una ipotesi concreta per capire quanti giorni e quante classi sarebbero coinvolte.</w:t>
      </w:r>
    </w:p>
    <w:p w:rsidR="005234DA" w:rsidRDefault="00D36A52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Adattare spazi esistenti, e specificamente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Aula magna Pascal e a seguire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 xml:space="preserve">aula Polivalente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>, oltre a recuperare le aule occupate tuttora dal</w:t>
      </w:r>
      <w:r>
        <w:rPr>
          <w:rStyle w:val="Nessuno"/>
          <w:rFonts w:ascii="Times New Roman" w:hAnsi="Times New Roman"/>
          <w:kern w:val="1"/>
        </w:rPr>
        <w:t>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 xml:space="preserve">ITS Turismo e Benessere. Si guadagnerebbero 6 aule che potrebbero non essere sufficienti, soprattutto considerando che 4 di queste sono al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e quindi disagevoli per chi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al Pascal per ragioni di distanza.</w:t>
      </w:r>
    </w:p>
    <w:p w:rsidR="005234DA" w:rsidRDefault="00D36A52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A questa ipotesi si aggiungono le consid</w:t>
      </w:r>
      <w:r>
        <w:rPr>
          <w:rStyle w:val="Nessuno"/>
          <w:rFonts w:ascii="Times New Roman" w:hAnsi="Times New Roman"/>
          <w:kern w:val="1"/>
        </w:rPr>
        <w:t xml:space="preserve">erazioni di prof.ssa </w:t>
      </w:r>
      <w:proofErr w:type="spellStart"/>
      <w:r>
        <w:rPr>
          <w:rStyle w:val="Nessuno"/>
          <w:rFonts w:ascii="Times New Roman" w:hAnsi="Times New Roman"/>
          <w:kern w:val="1"/>
        </w:rPr>
        <w:t>Baronio</w:t>
      </w:r>
      <w:proofErr w:type="spellEnd"/>
      <w:r>
        <w:rPr>
          <w:rStyle w:val="Nessuno"/>
          <w:rFonts w:ascii="Times New Roman" w:hAnsi="Times New Roman"/>
          <w:kern w:val="1"/>
        </w:rPr>
        <w:t>, del presidente e di altri consiglieri che ipotizzano di recuperare aule anche con prefabbricati snelli appositamente istituiti.</w:t>
      </w:r>
    </w:p>
    <w:p w:rsidR="005234DA" w:rsidRDefault="00D36A52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 xml:space="preserve">Il Ds a tal proposito informa che la soluzione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 xml:space="preserve">fattibile e in alcune scuole della provincia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st</w:t>
      </w:r>
      <w:r>
        <w:rPr>
          <w:rStyle w:val="Nessuno"/>
          <w:rFonts w:ascii="Times New Roman" w:hAnsi="Times New Roman"/>
          <w:kern w:val="1"/>
        </w:rPr>
        <w:t>ata gi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impiegata, e che pu</w:t>
      </w:r>
      <w:r>
        <w:rPr>
          <w:rStyle w:val="Nessuno"/>
          <w:rFonts w:ascii="Times New Roman" w:hAnsi="Times New Roman"/>
          <w:kern w:val="1"/>
        </w:rPr>
        <w:t xml:space="preserve">ò </w:t>
      </w:r>
      <w:r>
        <w:rPr>
          <w:rStyle w:val="Nessuno"/>
          <w:rFonts w:ascii="Times New Roman" w:hAnsi="Times New Roman"/>
          <w:kern w:val="1"/>
        </w:rPr>
        <w:t>essere soddisfacente per spazi aule ma non per laboratori</w:t>
      </w:r>
    </w:p>
    <w:p w:rsidR="005234DA" w:rsidRDefault="00D36A52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>Una rotazione pi</w:t>
      </w:r>
      <w:r>
        <w:rPr>
          <w:rStyle w:val="Nessuno"/>
          <w:rFonts w:ascii="Times New Roman" w:hAnsi="Times New Roman"/>
          <w:kern w:val="1"/>
        </w:rPr>
        <w:t xml:space="preserve">ù </w:t>
      </w:r>
      <w:r>
        <w:rPr>
          <w:rStyle w:val="Nessuno"/>
          <w:rFonts w:ascii="Times New Roman" w:hAnsi="Times New Roman"/>
          <w:kern w:val="1"/>
        </w:rPr>
        <w:t xml:space="preserve">estesa e diffusa delle aule/laboratori al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, sia per il Pascal che per il </w:t>
      </w:r>
      <w:proofErr w:type="spellStart"/>
      <w:r>
        <w:rPr>
          <w:rStyle w:val="Nessuno"/>
          <w:rFonts w:ascii="Times New Roman" w:hAnsi="Times New Roman"/>
          <w:kern w:val="1"/>
        </w:rPr>
        <w:t>Comandini</w:t>
      </w:r>
      <w:proofErr w:type="spellEnd"/>
      <w:r>
        <w:rPr>
          <w:rStyle w:val="Nessuno"/>
          <w:rFonts w:ascii="Times New Roman" w:hAnsi="Times New Roman"/>
          <w:kern w:val="1"/>
        </w:rPr>
        <w:t xml:space="preserve"> stesso, che attualmente non </w:t>
      </w:r>
      <w:r>
        <w:rPr>
          <w:rStyle w:val="Nessuno"/>
          <w:rFonts w:ascii="Times New Roman" w:hAnsi="Times New Roman"/>
          <w:kern w:val="1"/>
        </w:rPr>
        <w:t xml:space="preserve">è </w:t>
      </w:r>
      <w:r>
        <w:rPr>
          <w:rStyle w:val="Nessuno"/>
          <w:rFonts w:ascii="Times New Roman" w:hAnsi="Times New Roman"/>
          <w:kern w:val="1"/>
        </w:rPr>
        <w:t>attivata.</w:t>
      </w:r>
    </w:p>
    <w:p w:rsidR="005234DA" w:rsidRDefault="00D36A52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Style w:val="Nessuno"/>
          <w:rFonts w:ascii="Times New Roman" w:hAnsi="Times New Roman"/>
          <w:kern w:val="1"/>
        </w:rPr>
        <w:t xml:space="preserve">Utilizzare i </w:t>
      </w:r>
      <w:r>
        <w:rPr>
          <w:rStyle w:val="Nessuno"/>
          <w:rFonts w:ascii="Times New Roman" w:hAnsi="Times New Roman"/>
          <w:kern w:val="1"/>
        </w:rPr>
        <w:t>criteri di precedenza che la provincia impone ogni anno di approvare, e che questo CDI ha gi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approvato, ma mai utilizzato in passato, per decidere di prendere fino a un certo numero di iscritti e non oltre.</w:t>
      </w:r>
    </w:p>
    <w:p w:rsidR="005234DA" w:rsidRDefault="00D36A52">
      <w:pPr>
        <w:pStyle w:val="Paragrafoelenc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r>
        <w:rPr>
          <w:rStyle w:val="Nessuno"/>
          <w:rFonts w:ascii="Times New Roman" w:hAnsi="Times New Roman"/>
          <w:kern w:val="1"/>
        </w:rPr>
        <w:t>Considerate tutte le ipotesi di cui sopra, la di</w:t>
      </w:r>
      <w:r>
        <w:rPr>
          <w:rStyle w:val="Nessuno"/>
          <w:rFonts w:ascii="Times New Roman" w:hAnsi="Times New Roman"/>
          <w:kern w:val="1"/>
        </w:rPr>
        <w:t>scussione viene rimandata a momenti successivi visto che non riguarda la situazione dell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anno prossimo.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-Presidente, sostiene che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informatica attrae molti iscritti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  <w:kern w:val="1"/>
        </w:rPr>
      </w:pPr>
      <w:proofErr w:type="spellStart"/>
      <w:r>
        <w:rPr>
          <w:rStyle w:val="Nessuno"/>
          <w:rFonts w:ascii="Times New Roman" w:hAnsi="Times New Roman"/>
          <w:kern w:val="1"/>
        </w:rPr>
        <w:t>-Prof</w:t>
      </w:r>
      <w:proofErr w:type="spellEnd"/>
      <w:r>
        <w:rPr>
          <w:rStyle w:val="Nessuno"/>
          <w:rFonts w:ascii="Times New Roman" w:hAnsi="Times New Roman"/>
          <w:kern w:val="1"/>
        </w:rPr>
        <w:t>. Filomena, espone per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 xml:space="preserve">ennesima volta il grande lavoro svolto negli anni per </w:t>
      </w:r>
      <w:r>
        <w:rPr>
          <w:rStyle w:val="Nessuno"/>
          <w:rFonts w:ascii="Times New Roman" w:hAnsi="Times New Roman"/>
          <w:kern w:val="1"/>
        </w:rPr>
        <w:t>“</w:t>
      </w:r>
      <w:r>
        <w:rPr>
          <w:rStyle w:val="Nessuno"/>
          <w:rFonts w:ascii="Times New Roman" w:hAnsi="Times New Roman"/>
          <w:kern w:val="1"/>
        </w:rPr>
        <w:t>curvare</w:t>
      </w:r>
      <w:r>
        <w:rPr>
          <w:rStyle w:val="Nessuno"/>
          <w:rFonts w:ascii="Times New Roman" w:hAnsi="Times New Roman"/>
          <w:kern w:val="1"/>
        </w:rPr>
        <w:t xml:space="preserve">” </w:t>
      </w:r>
      <w:r>
        <w:rPr>
          <w:rStyle w:val="Nessuno"/>
          <w:rFonts w:ascii="Times New Roman" w:hAnsi="Times New Roman"/>
          <w:kern w:val="1"/>
        </w:rPr>
        <w:t>la materia di STA in una materia non generica ma propedeutica alle materie del triennio. Eliminare le attivit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di laboratorio in STA sarebbe una perdita non solo di attivit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sviluppate e costruite ad hoc, ma anche un insieme di stimoli volti ad ap</w:t>
      </w:r>
      <w:r>
        <w:rPr>
          <w:rStyle w:val="Nessuno"/>
          <w:rFonts w:ascii="Times New Roman" w:hAnsi="Times New Roman"/>
          <w:kern w:val="1"/>
        </w:rPr>
        <w:t>passionare gli studenti gi</w:t>
      </w:r>
      <w:r>
        <w:rPr>
          <w:rStyle w:val="Nessuno"/>
          <w:rFonts w:ascii="Times New Roman" w:hAnsi="Times New Roman"/>
          <w:kern w:val="1"/>
        </w:rPr>
        <w:t xml:space="preserve">à </w:t>
      </w:r>
      <w:r>
        <w:rPr>
          <w:rStyle w:val="Nessuno"/>
          <w:rFonts w:ascii="Times New Roman" w:hAnsi="Times New Roman"/>
          <w:kern w:val="1"/>
        </w:rPr>
        <w:t>in seconda e che, per quanto sappiamo, arricchiscono notevolmente l</w:t>
      </w:r>
      <w:r>
        <w:rPr>
          <w:rStyle w:val="Nessuno"/>
          <w:rFonts w:ascii="Times New Roman" w:hAnsi="Times New Roman"/>
          <w:kern w:val="1"/>
        </w:rPr>
        <w:t>’</w:t>
      </w:r>
      <w:r>
        <w:rPr>
          <w:rStyle w:val="Nessuno"/>
          <w:rFonts w:ascii="Times New Roman" w:hAnsi="Times New Roman"/>
          <w:kern w:val="1"/>
        </w:rPr>
        <w:t>offerta formativa.</w:t>
      </w:r>
    </w:p>
    <w:p w:rsidR="005234DA" w:rsidRDefault="00D36A52">
      <w:pPr>
        <w:shd w:val="clear" w:color="auto" w:fill="FFFFFF"/>
        <w:spacing w:after="160" w:line="213" w:lineRule="atLeast"/>
        <w:jc w:val="both"/>
        <w:rPr>
          <w:rStyle w:val="Nessuno"/>
          <w:rFonts w:ascii="Times New Roman" w:eastAsia="Times New Roman" w:hAnsi="Times New Roman" w:cs="Times New Roman"/>
          <w:color w:val="222222"/>
          <w:kern w:val="0"/>
          <w:u w:color="222222"/>
        </w:rPr>
      </w:pPr>
      <w:proofErr w:type="spellStart"/>
      <w:r>
        <w:rPr>
          <w:rStyle w:val="Nessuno"/>
          <w:rFonts w:ascii="Times New Roman" w:hAnsi="Times New Roman"/>
        </w:rPr>
        <w:t>-Prof.ssa</w:t>
      </w:r>
      <w:proofErr w:type="spellEnd"/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Baronio</w:t>
      </w:r>
      <w:proofErr w:type="spellEnd"/>
      <w:r>
        <w:rPr>
          <w:rStyle w:val="Nessuno"/>
          <w:rFonts w:ascii="Times New Roman" w:hAnsi="Times New Roman"/>
        </w:rPr>
        <w:t xml:space="preserve">: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concorda con il presidente del CDI e per ovviare all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eventuale mancanza di aule presso il plesso Pascal propone 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uso di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prefabbricati come quelli utilizzati presso la Scuola Media Viale della Resistenza. E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’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infatti necessario recuperare spazi presso il Plesso Pascal in cui sono presenti il maggior numero di laboratori della scuola e cercare quindi di ragionare in quest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area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 dell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istituto. Inoltre suggerisce di intervenire su Aula magna Pascal per ricavare due aule ed eventualmente trasformare l'aula 78 in laboratorio in caso di necessit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à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.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 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Chiede inoltre, dato che 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anno prossimo le classi del triennio Automazione che faranno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 lezione al plesso </w:t>
      </w:r>
      <w:proofErr w:type="spellStart"/>
      <w:r>
        <w:rPr>
          <w:rStyle w:val="Nessuno"/>
          <w:rFonts w:ascii="Times New Roman" w:hAnsi="Times New Roman"/>
          <w:color w:val="222222"/>
          <w:kern w:val="0"/>
          <w:u w:color="222222"/>
        </w:rPr>
        <w:t>Comandini</w:t>
      </w:r>
      <w:proofErr w:type="spellEnd"/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 saranno 9, di poter avere uno spazio in pi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ù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per queste classi in modo da evitare che le 9 classi del Pascal Automazione debbano effettuare la rotazione aule. Questo perch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é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avere un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aula assegnata ad ogni classe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è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un valore aggi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unto.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 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Chiede pertanto di poter utilizzare 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aula polivalente del </w:t>
      </w:r>
      <w:proofErr w:type="spellStart"/>
      <w:r>
        <w:rPr>
          <w:rStyle w:val="Nessuno"/>
          <w:rFonts w:ascii="Times New Roman" w:hAnsi="Times New Roman"/>
          <w:color w:val="222222"/>
          <w:kern w:val="0"/>
          <w:u w:color="222222"/>
        </w:rPr>
        <w:t>Comandini</w:t>
      </w:r>
      <w:proofErr w:type="spellEnd"/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 come aula per una classe.</w:t>
      </w:r>
    </w:p>
    <w:p w:rsidR="005234DA" w:rsidRDefault="00D36A52">
      <w:pPr>
        <w:shd w:val="clear" w:color="auto" w:fill="FFFFFF"/>
        <w:spacing w:after="160" w:line="213" w:lineRule="atLeast"/>
        <w:jc w:val="both"/>
        <w:rPr>
          <w:rStyle w:val="Nessuno"/>
          <w:rFonts w:ascii="Times New Roman" w:eastAsia="Times New Roman" w:hAnsi="Times New Roman" w:cs="Times New Roman"/>
          <w:color w:val="222222"/>
          <w:kern w:val="0"/>
          <w:u w:color="222222"/>
        </w:rPr>
      </w:pPr>
      <w:r>
        <w:rPr>
          <w:rStyle w:val="Nessuno"/>
          <w:rFonts w:ascii="Times New Roman" w:hAnsi="Times New Roman"/>
          <w:color w:val="222222"/>
          <w:kern w:val="0"/>
          <w:u w:color="222222"/>
        </w:rPr>
        <w:t>-Il DS risponde all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ultima questione che la polivalente rimane l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unica e ultima aula per attivit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à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, di entrambi i plessi, come lo studio assistito per chi n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on fa IRC e sdoppiamenti vari (anche il vicepreside Bartoletti fa notare questa cosa), per cui ci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ò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non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è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possibile, del resto la rotazione aule-laboratori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 xml:space="preserve">è 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qualcosa a cui le classi del Pascal sono abituati almeno da dieci anni quindi non dovrebbe comporta</w:t>
      </w:r>
      <w:r>
        <w:rPr>
          <w:rStyle w:val="Nessuno"/>
          <w:rFonts w:ascii="Times New Roman" w:hAnsi="Times New Roman"/>
          <w:color w:val="222222"/>
          <w:kern w:val="0"/>
          <w:u w:color="222222"/>
        </w:rPr>
        <w:t>re problemi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-Prof.ssa</w:t>
      </w:r>
      <w:proofErr w:type="spellEnd"/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Tombetti</w:t>
      </w:r>
      <w:proofErr w:type="spellEnd"/>
      <w:r>
        <w:rPr>
          <w:rStyle w:val="Nessuno"/>
          <w:rFonts w:ascii="Times New Roman" w:hAnsi="Times New Roman"/>
        </w:rPr>
        <w:t xml:space="preserve">, sostiene che per recuperare gli spazi mancanti visto il numero degli iscritti, la </w:t>
      </w:r>
      <w:proofErr w:type="spellStart"/>
      <w:r>
        <w:rPr>
          <w:rStyle w:val="Nessuno"/>
          <w:rFonts w:ascii="Times New Roman" w:hAnsi="Times New Roman"/>
        </w:rPr>
        <w:t>DaD</w:t>
      </w:r>
      <w:proofErr w:type="spellEnd"/>
      <w:r>
        <w:rPr>
          <w:rStyle w:val="Nessuno"/>
          <w:rFonts w:ascii="Times New Roman" w:hAnsi="Times New Roman"/>
        </w:rPr>
        <w:t xml:space="preserve">  sarebbe pi</w:t>
      </w:r>
      <w:r>
        <w:rPr>
          <w:rStyle w:val="Nessuno"/>
          <w:rFonts w:ascii="Times New Roman" w:hAnsi="Times New Roman"/>
        </w:rPr>
        <w:t xml:space="preserve">ù </w:t>
      </w:r>
      <w:r>
        <w:rPr>
          <w:rStyle w:val="Nessuno"/>
          <w:rFonts w:ascii="Times New Roman" w:hAnsi="Times New Roman"/>
        </w:rPr>
        <w:t xml:space="preserve">difficile da </w:t>
      </w:r>
      <w:proofErr w:type="spellStart"/>
      <w:r>
        <w:rPr>
          <w:rStyle w:val="Nessuno"/>
          <w:rFonts w:ascii="Times New Roman" w:hAnsi="Times New Roman"/>
        </w:rPr>
        <w:t>gestiore</w:t>
      </w:r>
      <w:proofErr w:type="spellEnd"/>
      <w:r>
        <w:rPr>
          <w:rStyle w:val="Nessuno"/>
          <w:rFonts w:ascii="Times New Roman" w:hAnsi="Times New Roman"/>
        </w:rPr>
        <w:t>.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  <w:kern w:val="0"/>
        </w:rPr>
      </w:pPr>
      <w:proofErr w:type="spellStart"/>
      <w:r>
        <w:rPr>
          <w:rStyle w:val="Nessuno"/>
          <w:rFonts w:ascii="Times New Roman" w:hAnsi="Times New Roman"/>
        </w:rPr>
        <w:t>-Prof.ssa</w:t>
      </w:r>
      <w:proofErr w:type="spellEnd"/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Fusaroli</w:t>
      </w:r>
      <w:proofErr w:type="spellEnd"/>
      <w:r>
        <w:rPr>
          <w:rStyle w:val="Nessuno"/>
          <w:rFonts w:ascii="Times New Roman" w:hAnsi="Times New Roman"/>
        </w:rPr>
        <w:t>:</w:t>
      </w:r>
      <w:r>
        <w:rPr>
          <w:rStyle w:val="Nessuno"/>
          <w:rFonts w:ascii="Times New Roman" w:hAnsi="Times New Roman"/>
          <w:kern w:val="0"/>
        </w:rPr>
        <w:t xml:space="preserve"> ritiene che prima di negare la possibilit</w:t>
      </w:r>
      <w:r>
        <w:rPr>
          <w:rStyle w:val="Nessuno"/>
          <w:rFonts w:ascii="Times New Roman" w:hAnsi="Times New Roman"/>
          <w:kern w:val="0"/>
        </w:rPr>
        <w:t xml:space="preserve">à </w:t>
      </w:r>
      <w:r>
        <w:rPr>
          <w:rStyle w:val="Nessuno"/>
          <w:rFonts w:ascii="Times New Roman" w:hAnsi="Times New Roman"/>
          <w:kern w:val="0"/>
        </w:rPr>
        <w:t xml:space="preserve">a qualcuno di iscriversi presso </w:t>
      </w:r>
      <w:r>
        <w:rPr>
          <w:rStyle w:val="Nessuno"/>
          <w:rFonts w:ascii="Times New Roman" w:hAnsi="Times New Roman"/>
          <w:kern w:val="0"/>
        </w:rPr>
        <w:t>l'istituto sia opportuno valutare tutte le alternative perch</w:t>
      </w:r>
      <w:r>
        <w:rPr>
          <w:rStyle w:val="Nessuno"/>
          <w:rFonts w:ascii="Times New Roman" w:hAnsi="Times New Roman"/>
          <w:kern w:val="0"/>
        </w:rPr>
        <w:t xml:space="preserve">é </w:t>
      </w:r>
      <w:r>
        <w:rPr>
          <w:rStyle w:val="Nessuno"/>
          <w:rFonts w:ascii="Times New Roman" w:hAnsi="Times New Roman"/>
          <w:kern w:val="0"/>
        </w:rPr>
        <w:t>non si avrebbe nessun criterio oggettivo per discriminare chi accettare e chi no, non conoscendo i ragazzi e non potendosi basare sul voto in uscita dalle scuole medie; per questo motivo si rend</w:t>
      </w:r>
      <w:r>
        <w:rPr>
          <w:rStyle w:val="Nessuno"/>
          <w:rFonts w:ascii="Times New Roman" w:hAnsi="Times New Roman"/>
          <w:kern w:val="0"/>
        </w:rPr>
        <w:t xml:space="preserve">e disponibile per far un conteggio per organizzare le classi a rotazione in </w:t>
      </w:r>
      <w:proofErr w:type="spellStart"/>
      <w:r>
        <w:rPr>
          <w:rStyle w:val="Nessuno"/>
          <w:rFonts w:ascii="Times New Roman" w:hAnsi="Times New Roman"/>
          <w:kern w:val="0"/>
        </w:rPr>
        <w:t>Dad</w:t>
      </w:r>
      <w:proofErr w:type="spellEnd"/>
      <w:r>
        <w:rPr>
          <w:rStyle w:val="Nessuno"/>
          <w:rFonts w:ascii="Times New Roman" w:hAnsi="Times New Roman"/>
          <w:kern w:val="0"/>
        </w:rPr>
        <w:t xml:space="preserve"> e per ipotizzare l'utilizzo di classi aggiuntive per il Pascal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-Prof.ssa</w:t>
      </w:r>
      <w:proofErr w:type="spellEnd"/>
      <w:r>
        <w:rPr>
          <w:rStyle w:val="Nessuno"/>
          <w:rFonts w:ascii="Times New Roman" w:hAnsi="Times New Roman"/>
        </w:rPr>
        <w:t xml:space="preserve"> </w:t>
      </w:r>
      <w:proofErr w:type="spellStart"/>
      <w:r>
        <w:rPr>
          <w:rStyle w:val="Nessuno"/>
          <w:rFonts w:ascii="Times New Roman" w:hAnsi="Times New Roman"/>
        </w:rPr>
        <w:t>Montemurro</w:t>
      </w:r>
      <w:proofErr w:type="spellEnd"/>
      <w:r>
        <w:rPr>
          <w:rStyle w:val="Nessuno"/>
          <w:rFonts w:ascii="Times New Roman" w:hAnsi="Times New Roman"/>
        </w:rPr>
        <w:t xml:space="preserve">, sostiene che la polivalente serve al </w:t>
      </w:r>
      <w:proofErr w:type="spellStart"/>
      <w:r>
        <w:rPr>
          <w:rStyle w:val="Nessuno"/>
          <w:rFonts w:ascii="Times New Roman" w:hAnsi="Times New Roman"/>
        </w:rPr>
        <w:t>Comandini</w:t>
      </w:r>
      <w:proofErr w:type="spellEnd"/>
      <w:r>
        <w:rPr>
          <w:rStyle w:val="Nessuno"/>
          <w:rFonts w:ascii="Times New Roman" w:hAnsi="Times New Roman"/>
        </w:rPr>
        <w:t xml:space="preserve"> ed </w:t>
      </w:r>
      <w:r>
        <w:rPr>
          <w:rStyle w:val="Nessuno"/>
          <w:rFonts w:ascii="Times New Roman" w:hAnsi="Times New Roman"/>
        </w:rPr>
        <w:t xml:space="preserve">è </w:t>
      </w:r>
      <w:r>
        <w:rPr>
          <w:rStyle w:val="Nessuno"/>
          <w:rFonts w:ascii="Times New Roman" w:hAnsi="Times New Roman"/>
        </w:rPr>
        <w:t>rimasta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unica aula libera per eventua</w:t>
      </w:r>
      <w:r>
        <w:rPr>
          <w:rStyle w:val="Nessuno"/>
          <w:rFonts w:ascii="Times New Roman" w:hAnsi="Times New Roman"/>
        </w:rPr>
        <w:t>li necessit</w:t>
      </w:r>
      <w:r>
        <w:rPr>
          <w:rStyle w:val="Nessuno"/>
          <w:rFonts w:ascii="Times New Roman" w:hAnsi="Times New Roman"/>
        </w:rPr>
        <w:t>à</w:t>
      </w:r>
      <w:r>
        <w:rPr>
          <w:rStyle w:val="Nessuno"/>
          <w:rFonts w:ascii="Times New Roman" w:hAnsi="Times New Roman"/>
        </w:rPr>
        <w:t>.</w:t>
      </w:r>
    </w:p>
    <w:p w:rsidR="005234DA" w:rsidRDefault="005234DA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ind w:left="714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5. Relazione sui contributi scolastici della DSGA e relativa decisione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DS illustra la relazione della DSGA sugli incassi dei contributi liberali, gi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illustrata in giunta esecutiva, e che qui si allega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color w:val="0000FF"/>
          <w:u w:val="single" w:color="0000FF"/>
        </w:rPr>
        <w:t>Prospetto pagamenti contributi per l</w:t>
      </w:r>
      <w:r>
        <w:rPr>
          <w:rStyle w:val="Nessuno"/>
          <w:rFonts w:ascii="Times New Roman" w:hAnsi="Times New Roman"/>
          <w:color w:val="0000FF"/>
          <w:u w:val="single" w:color="0000FF"/>
        </w:rPr>
        <w:t>’</w:t>
      </w:r>
      <w:r>
        <w:rPr>
          <w:rStyle w:val="Nessuno"/>
          <w:rFonts w:ascii="Times New Roman" w:hAnsi="Times New Roman"/>
          <w:color w:val="0000FF"/>
          <w:u w:val="single" w:color="0000FF"/>
        </w:rPr>
        <w:t>anno 21-22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 proposito della osservazione della DSGA: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 xml:space="preserve">considerato che diverse famiglie, sia del </w:t>
      </w:r>
      <w:proofErr w:type="spellStart"/>
      <w:r>
        <w:rPr>
          <w:rStyle w:val="Nessuno"/>
          <w:rFonts w:ascii="Times New Roman" w:hAnsi="Times New Roman"/>
        </w:rPr>
        <w:t>Comandini</w:t>
      </w:r>
      <w:proofErr w:type="spellEnd"/>
      <w:r>
        <w:rPr>
          <w:rStyle w:val="Nessuno"/>
          <w:rFonts w:ascii="Times New Roman" w:hAnsi="Times New Roman"/>
        </w:rPr>
        <w:t xml:space="preserve"> che del Pascal, non versano i contributi e/o non li versano per intero non ha molto senso mantenere la differenziazione dei contributi per cui si pr</w:t>
      </w:r>
      <w:r>
        <w:rPr>
          <w:rStyle w:val="Nessuno"/>
          <w:rFonts w:ascii="Times New Roman" w:hAnsi="Times New Roman"/>
        </w:rPr>
        <w:t xml:space="preserve">opone l'equiparazione degli importi: 90,00 </w:t>
      </w:r>
      <w:r>
        <w:rPr>
          <w:rStyle w:val="Nessuno"/>
          <w:rFonts w:ascii="Times New Roman" w:hAnsi="Times New Roman"/>
        </w:rPr>
        <w:t xml:space="preserve">€ </w:t>
      </w:r>
      <w:r>
        <w:rPr>
          <w:rStyle w:val="Nessuno"/>
          <w:rFonts w:ascii="Times New Roman" w:hAnsi="Times New Roman"/>
        </w:rPr>
        <w:t>per tutti (anzich</w:t>
      </w:r>
      <w:r>
        <w:rPr>
          <w:rStyle w:val="Nessuno"/>
          <w:rFonts w:ascii="Times New Roman" w:hAnsi="Times New Roman"/>
        </w:rPr>
        <w:t xml:space="preserve">é </w:t>
      </w:r>
      <w:r>
        <w:rPr>
          <w:rStyle w:val="Nessuno"/>
          <w:rFonts w:ascii="Times New Roman" w:hAnsi="Times New Roman"/>
        </w:rPr>
        <w:t xml:space="preserve">70,00 </w:t>
      </w:r>
      <w:r>
        <w:rPr>
          <w:rStyle w:val="Nessuno"/>
          <w:rFonts w:ascii="Times New Roman" w:hAnsi="Times New Roman"/>
        </w:rPr>
        <w:t xml:space="preserve">€ </w:t>
      </w:r>
      <w:r>
        <w:rPr>
          <w:rStyle w:val="Nessuno"/>
          <w:rFonts w:ascii="Times New Roman" w:hAnsi="Times New Roman"/>
        </w:rPr>
        <w:t xml:space="preserve">per il </w:t>
      </w:r>
      <w:proofErr w:type="spellStart"/>
      <w:r>
        <w:rPr>
          <w:rStyle w:val="Nessuno"/>
          <w:rFonts w:ascii="Times New Roman" w:hAnsi="Times New Roman"/>
        </w:rPr>
        <w:t>Comandini</w:t>
      </w:r>
      <w:proofErr w:type="spellEnd"/>
      <w:r>
        <w:rPr>
          <w:rStyle w:val="Nessuno"/>
          <w:rFonts w:ascii="Times New Roman" w:hAnsi="Times New Roman"/>
        </w:rPr>
        <w:t xml:space="preserve"> e 90 per il Pascal) oppure 80,00 </w:t>
      </w:r>
      <w:r>
        <w:rPr>
          <w:rStyle w:val="Nessuno"/>
          <w:rFonts w:ascii="Times New Roman" w:hAnsi="Times New Roman"/>
        </w:rPr>
        <w:t xml:space="preserve">€ </w:t>
      </w:r>
      <w:r>
        <w:rPr>
          <w:rStyle w:val="Nessuno"/>
          <w:rFonts w:ascii="Times New Roman" w:hAnsi="Times New Roman"/>
        </w:rPr>
        <w:t>per tutti e si propone una diversa suddivisione</w:t>
      </w:r>
      <w:r>
        <w:rPr>
          <w:rStyle w:val="Nessuno"/>
          <w:rFonts w:ascii="Times New Roman" w:hAnsi="Times New Roman"/>
        </w:rPr>
        <w:t>”</w:t>
      </w:r>
      <w:r>
        <w:rPr>
          <w:rStyle w:val="Nessuno"/>
          <w:rFonts w:ascii="Times New Roman" w:hAnsi="Times New Roman"/>
        </w:rPr>
        <w:t xml:space="preserve">: 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e ricordando che la suddivisione delle spese nella famiglia, fra parte obbligatoria e parte liberale </w:t>
      </w:r>
      <w:r>
        <w:rPr>
          <w:rStyle w:val="Nessuno"/>
          <w:rFonts w:ascii="Times New Roman" w:hAnsi="Times New Roman"/>
        </w:rPr>
        <w:t xml:space="preserve">è </w:t>
      </w:r>
      <w:r>
        <w:rPr>
          <w:rStyle w:val="Nessuno"/>
          <w:rFonts w:ascii="Times New Roman" w:hAnsi="Times New Roman"/>
        </w:rPr>
        <w:t>la seguente</w:t>
      </w:r>
    </w:p>
    <w:tbl>
      <w:tblPr>
        <w:tblStyle w:val="TableNormal"/>
        <w:tblW w:w="9220" w:type="dxa"/>
        <w:tblInd w:w="6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40"/>
        <w:gridCol w:w="6680"/>
      </w:tblGrid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jc w:val="right"/>
            </w:pPr>
            <w:r>
              <w:rPr>
                <w:rStyle w:val="Nessuno"/>
                <w:rFonts w:ascii="Times New Roman" w:hAnsi="Times New Roman"/>
              </w:rPr>
              <w:t xml:space="preserve">15,00 </w:t>
            </w:r>
            <w:r>
              <w:rPr>
                <w:rStyle w:val="Nessuno"/>
                <w:rFonts w:ascii="Times New Roman" w:hAnsi="Times New Roman"/>
              </w:rPr>
              <w:t>€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</w:pPr>
            <w:r>
              <w:rPr>
                <w:rStyle w:val="Nessuno"/>
                <w:rFonts w:ascii="Times New Roman" w:hAnsi="Times New Roman"/>
              </w:rPr>
              <w:t>spese obbligatorie dove si comprende sia l'assicurazione che la tessera per fotocopie e i1 badge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jc w:val="right"/>
            </w:pPr>
            <w:r>
              <w:rPr>
                <w:rStyle w:val="Nessuno"/>
                <w:rFonts w:ascii="Times New Roman" w:hAnsi="Times New Roman"/>
              </w:rPr>
              <w:t xml:space="preserve">65,00 </w:t>
            </w:r>
            <w:r>
              <w:rPr>
                <w:rStyle w:val="Nessuno"/>
                <w:rFonts w:ascii="Times New Roman" w:hAnsi="Times New Roman"/>
              </w:rPr>
              <w:t>€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</w:pPr>
            <w:r>
              <w:rPr>
                <w:rStyle w:val="Nessuno"/>
                <w:rFonts w:ascii="Times New Roman" w:hAnsi="Times New Roman"/>
              </w:rPr>
              <w:t xml:space="preserve">per materiale di consumo e </w:t>
            </w:r>
            <w:r>
              <w:rPr>
                <w:rStyle w:val="Nessuno"/>
                <w:rFonts w:ascii="Times New Roman" w:hAnsi="Times New Roman"/>
              </w:rPr>
              <w:t>innovazione tecnologica</w:t>
            </w:r>
          </w:p>
        </w:tc>
      </w:tr>
      <w:tr w:rsidR="00523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  <w:jc w:val="right"/>
            </w:pPr>
            <w:r>
              <w:rPr>
                <w:rStyle w:val="Nessuno"/>
                <w:rFonts w:ascii="Times New Roman" w:hAnsi="Times New Roman"/>
              </w:rPr>
              <w:t>10 euro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4DA" w:rsidRDefault="00D36A52">
            <w:pPr>
              <w:widowControl/>
            </w:pPr>
            <w:r>
              <w:rPr>
                <w:rStyle w:val="Nessuno"/>
                <w:rFonts w:ascii="Times New Roman" w:hAnsi="Times New Roman"/>
              </w:rPr>
              <w:t>progetti</w:t>
            </w:r>
          </w:p>
        </w:tc>
      </w:tr>
    </w:tbl>
    <w:p w:rsidR="005234DA" w:rsidRDefault="005234DA">
      <w:pPr>
        <w:ind w:left="492" w:hanging="492"/>
        <w:rPr>
          <w:rStyle w:val="Nessuno"/>
          <w:rFonts w:ascii="Times New Roman" w:eastAsia="Times New Roman" w:hAnsi="Times New Roman" w:cs="Times New Roman"/>
        </w:rPr>
      </w:pPr>
    </w:p>
    <w:p w:rsidR="005234DA" w:rsidRDefault="005234DA">
      <w:pPr>
        <w:ind w:left="384" w:hanging="384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ind w:left="276" w:hanging="276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(per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IPSIA si va in proporzione sui 70 euro)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Ds apre la discussione osservando che secondo sua opinione i dati del prospetto pagamenti contributi spiegano che non serve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aumento dei contributi quanto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invogliare le famiglie a pagare almeno la quota obbligatoria.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Pascal</w:t>
      </w:r>
      <w:r>
        <w:rPr>
          <w:rStyle w:val="Nessuno"/>
          <w:rFonts w:ascii="Times New Roman" w:hAnsi="Times New Roman"/>
        </w:rPr>
        <w:t>………………………………………………………………………</w:t>
      </w:r>
      <w:r>
        <w:rPr>
          <w:rStyle w:val="Nessuno"/>
          <w:rFonts w:ascii="Times New Roman" w:hAnsi="Times New Roman"/>
        </w:rPr>
        <w:t>%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-hanno pagato 15 </w:t>
      </w:r>
      <w:proofErr w:type="spellStart"/>
      <w:r>
        <w:rPr>
          <w:rStyle w:val="Nessuno"/>
          <w:rFonts w:ascii="Times New Roman" w:hAnsi="Times New Roman"/>
        </w:rPr>
        <w:t>euro</w:t>
      </w:r>
      <w:r>
        <w:rPr>
          <w:rStyle w:val="Nessuno"/>
          <w:rFonts w:ascii="Times New Roman" w:hAnsi="Times New Roman"/>
        </w:rPr>
        <w:t>……………………………………………</w:t>
      </w:r>
      <w:proofErr w:type="spellEnd"/>
      <w:r>
        <w:rPr>
          <w:rStyle w:val="Nessuno"/>
          <w:rFonts w:ascii="Times New Roman" w:hAnsi="Times New Roman"/>
        </w:rPr>
        <w:t>. 380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>37,89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-hanno pagato 90 </w:t>
      </w:r>
      <w:proofErr w:type="spellStart"/>
      <w:r>
        <w:rPr>
          <w:rStyle w:val="Nessuno"/>
          <w:rFonts w:ascii="Times New Roman" w:hAnsi="Times New Roman"/>
        </w:rPr>
        <w:t>euro</w:t>
      </w:r>
      <w:r>
        <w:rPr>
          <w:rStyle w:val="Nessuno"/>
          <w:rFonts w:ascii="Times New Roman" w:hAnsi="Times New Roman"/>
        </w:rPr>
        <w:t>……………………………………………</w:t>
      </w:r>
      <w:proofErr w:type="spellEnd"/>
      <w:r>
        <w:rPr>
          <w:rStyle w:val="Nessuno"/>
          <w:rFonts w:ascii="Times New Roman" w:hAnsi="Times New Roman"/>
        </w:rPr>
        <w:t>. 426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>42,47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-hanno pagato pi</w:t>
      </w:r>
      <w:r>
        <w:rPr>
          <w:rStyle w:val="Nessuno"/>
          <w:rFonts w:ascii="Times New Roman" w:hAnsi="Times New Roman"/>
        </w:rPr>
        <w:t xml:space="preserve">ù </w:t>
      </w:r>
      <w:r>
        <w:rPr>
          <w:rStyle w:val="Nessuno"/>
          <w:rFonts w:ascii="Times New Roman" w:hAnsi="Times New Roman"/>
        </w:rPr>
        <w:t xml:space="preserve">di 90 </w:t>
      </w:r>
      <w:proofErr w:type="spellStart"/>
      <w:r>
        <w:rPr>
          <w:rStyle w:val="Nessuno"/>
          <w:rFonts w:ascii="Times New Roman" w:hAnsi="Times New Roman"/>
        </w:rPr>
        <w:t>euro</w:t>
      </w:r>
      <w:r>
        <w:rPr>
          <w:rStyle w:val="Nessuno"/>
          <w:rFonts w:ascii="Times New Roman" w:hAnsi="Times New Roman"/>
        </w:rPr>
        <w:t>……………………………………</w:t>
      </w:r>
      <w:proofErr w:type="spellEnd"/>
      <w:r>
        <w:rPr>
          <w:rStyle w:val="Nessuno"/>
          <w:rFonts w:ascii="Times New Roman" w:hAnsi="Times New Roman"/>
        </w:rPr>
        <w:t>..  17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>.</w:t>
      </w:r>
      <w:r>
        <w:rPr>
          <w:rStyle w:val="Nessuno"/>
          <w:rFonts w:ascii="Times New Roman" w:hAnsi="Times New Roman"/>
        </w:rPr>
        <w:t xml:space="preserve"> 1,69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-hanno pagato pi</w:t>
      </w:r>
      <w:r>
        <w:rPr>
          <w:rStyle w:val="Nessuno"/>
          <w:rFonts w:ascii="Times New Roman" w:hAnsi="Times New Roman"/>
        </w:rPr>
        <w:t xml:space="preserve">ù </w:t>
      </w:r>
      <w:r>
        <w:rPr>
          <w:rStyle w:val="Nessuno"/>
          <w:rFonts w:ascii="Times New Roman" w:hAnsi="Times New Roman"/>
        </w:rPr>
        <w:t>di 15 e euro meno di 90</w:t>
      </w:r>
      <w:r>
        <w:rPr>
          <w:rStyle w:val="Nessuno"/>
          <w:rFonts w:ascii="Times New Roman" w:hAnsi="Times New Roman"/>
        </w:rPr>
        <w:t xml:space="preserve">………………………  </w:t>
      </w:r>
      <w:r>
        <w:rPr>
          <w:rStyle w:val="Nessuno"/>
          <w:rFonts w:ascii="Times New Roman" w:hAnsi="Times New Roman"/>
        </w:rPr>
        <w:t>70</w:t>
      </w:r>
      <w:r>
        <w:rPr>
          <w:rStyle w:val="Nessuno"/>
          <w:rFonts w:ascii="Times New Roman" w:hAnsi="Times New Roman"/>
        </w:rPr>
        <w:t xml:space="preserve">…………  </w:t>
      </w:r>
      <w:r>
        <w:rPr>
          <w:rStyle w:val="Nessuno"/>
          <w:rFonts w:ascii="Times New Roman" w:hAnsi="Times New Roman"/>
        </w:rPr>
        <w:t>6,76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……………………………………………………………………</w:t>
      </w:r>
      <w:proofErr w:type="spellEnd"/>
      <w:r>
        <w:rPr>
          <w:rStyle w:val="Nessuno"/>
          <w:rFonts w:ascii="Times New Roman" w:hAnsi="Times New Roman"/>
        </w:rPr>
        <w:t>..893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-studenti che non hanno pagato </w:t>
      </w:r>
      <w:proofErr w:type="spellStart"/>
      <w:r>
        <w:rPr>
          <w:rStyle w:val="Nessuno"/>
          <w:rFonts w:ascii="Times New Roman" w:hAnsi="Times New Roman"/>
        </w:rPr>
        <w:t>…………………………………</w:t>
      </w:r>
      <w:proofErr w:type="spellEnd"/>
      <w:r>
        <w:rPr>
          <w:rStyle w:val="Nessuno"/>
          <w:rFonts w:ascii="Times New Roman" w:hAnsi="Times New Roman"/>
        </w:rPr>
        <w:t>...110</w:t>
      </w:r>
      <w:r>
        <w:rPr>
          <w:rStyle w:val="Nessuno"/>
          <w:rFonts w:ascii="Times New Roman" w:hAnsi="Times New Roman"/>
        </w:rPr>
        <w:t>………</w:t>
      </w:r>
      <w:r>
        <w:rPr>
          <w:rStyle w:val="Nessuno"/>
          <w:rFonts w:ascii="Times New Roman" w:hAnsi="Times New Roman"/>
        </w:rPr>
        <w:t>..  10,97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……………………………………………………………………</w:t>
      </w:r>
      <w:proofErr w:type="spellEnd"/>
      <w:r>
        <w:rPr>
          <w:rStyle w:val="Nessuno"/>
          <w:rFonts w:ascii="Times New Roman" w:hAnsi="Times New Roman"/>
        </w:rPr>
        <w:t>..1.003</w:t>
      </w:r>
      <w:r>
        <w:rPr>
          <w:rStyle w:val="Nessuno"/>
          <w:rFonts w:ascii="Times New Roman" w:hAnsi="Times New Roman"/>
        </w:rPr>
        <w:t>……</w:t>
      </w:r>
      <w:r>
        <w:rPr>
          <w:rStyle w:val="Nessuno"/>
          <w:rFonts w:ascii="Times New Roman" w:hAnsi="Times New Roman"/>
        </w:rPr>
        <w:t>...  100</w:t>
      </w: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………………………………………………………………</w:t>
      </w:r>
      <w:proofErr w:type="spellEnd"/>
      <w:r>
        <w:rPr>
          <w:rStyle w:val="Nessuno"/>
          <w:rFonts w:ascii="Times New Roman" w:hAnsi="Times New Roman"/>
        </w:rPr>
        <w:t>..        1.627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U.Comandini</w:t>
      </w:r>
      <w:proofErr w:type="spellEnd"/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%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-hanno pagato 15 euro                                                                      305.               48,88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-hanno pagato 70 euro         </w:t>
      </w:r>
      <w:r>
        <w:rPr>
          <w:rStyle w:val="Nessuno"/>
          <w:rFonts w:ascii="Times New Roman" w:hAnsi="Times New Roman"/>
        </w:rPr>
        <w:t xml:space="preserve">                                                             121</w:t>
      </w:r>
      <w:r>
        <w:rPr>
          <w:rStyle w:val="Nessuno"/>
          <w:rFonts w:ascii="Times New Roman" w:hAnsi="Times New Roman"/>
        </w:rPr>
        <w:t>………</w:t>
      </w:r>
      <w:r>
        <w:rPr>
          <w:rStyle w:val="Nessuno"/>
          <w:rFonts w:ascii="Times New Roman" w:hAnsi="Times New Roman"/>
        </w:rPr>
        <w:t>..  19,39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-hanno pagato pi</w:t>
      </w:r>
      <w:r>
        <w:rPr>
          <w:rStyle w:val="Nessuno"/>
          <w:rFonts w:ascii="Times New Roman" w:hAnsi="Times New Roman"/>
        </w:rPr>
        <w:t xml:space="preserve">ù </w:t>
      </w:r>
      <w:r>
        <w:rPr>
          <w:rStyle w:val="Nessuno"/>
          <w:rFonts w:ascii="Times New Roman" w:hAnsi="Times New Roman"/>
        </w:rPr>
        <w:t>di 70 euro.                                                           17</w:t>
      </w:r>
      <w:r>
        <w:rPr>
          <w:rStyle w:val="Nessuno"/>
          <w:rFonts w:ascii="Times New Roman" w:hAnsi="Times New Roman"/>
        </w:rPr>
        <w:t xml:space="preserve">…………  </w:t>
      </w:r>
      <w:r>
        <w:rPr>
          <w:rStyle w:val="Nessuno"/>
          <w:rFonts w:ascii="Times New Roman" w:hAnsi="Times New Roman"/>
        </w:rPr>
        <w:t>2,72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-hanno pagato pi</w:t>
      </w:r>
      <w:r>
        <w:rPr>
          <w:rStyle w:val="Nessuno"/>
          <w:rFonts w:ascii="Times New Roman" w:hAnsi="Times New Roman"/>
        </w:rPr>
        <w:t xml:space="preserve">ù </w:t>
      </w:r>
      <w:r>
        <w:rPr>
          <w:rStyle w:val="Nessuno"/>
          <w:rFonts w:ascii="Times New Roman" w:hAnsi="Times New Roman"/>
        </w:rPr>
        <w:t xml:space="preserve">di 15 euro e meno di 70 </w:t>
      </w:r>
      <w:proofErr w:type="spellStart"/>
      <w:r>
        <w:rPr>
          <w:rStyle w:val="Nessuno"/>
          <w:rFonts w:ascii="Times New Roman" w:hAnsi="Times New Roman"/>
        </w:rPr>
        <w:t>euro</w:t>
      </w:r>
      <w:r>
        <w:rPr>
          <w:rStyle w:val="Nessuno"/>
          <w:rFonts w:ascii="Times New Roman" w:hAnsi="Times New Roman"/>
        </w:rPr>
        <w:t>…………………</w:t>
      </w:r>
      <w:proofErr w:type="spellEnd"/>
      <w:r>
        <w:rPr>
          <w:rStyle w:val="Nessuno"/>
          <w:rFonts w:ascii="Times New Roman" w:hAnsi="Times New Roman"/>
        </w:rPr>
        <w:t>..23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>. 3,69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</w:t>
      </w:r>
      <w:r>
        <w:rPr>
          <w:rStyle w:val="Nessuno"/>
          <w:rFonts w:ascii="Times New Roman" w:hAnsi="Times New Roman"/>
        </w:rPr>
        <w:t>…………………………………………</w:t>
      </w:r>
      <w:proofErr w:type="spellEnd"/>
      <w:r>
        <w:rPr>
          <w:rStyle w:val="Nessuno"/>
          <w:rFonts w:ascii="Times New Roman" w:hAnsi="Times New Roman"/>
        </w:rPr>
        <w:t>. 466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-studenti che non hanno pagato                                                        158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>25,32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624</w:t>
      </w:r>
      <w:r>
        <w:rPr>
          <w:rStyle w:val="Nessuno"/>
          <w:rFonts w:ascii="Times New Roman" w:hAnsi="Times New Roman"/>
        </w:rPr>
        <w:t xml:space="preserve">………    </w:t>
      </w:r>
      <w:r>
        <w:rPr>
          <w:rStyle w:val="Nessuno"/>
          <w:rFonts w:ascii="Times New Roman" w:hAnsi="Times New Roman"/>
        </w:rPr>
        <w:t>100,00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frequentanti</w:t>
      </w:r>
      <w:r>
        <w:rPr>
          <w:rStyle w:val="Nessuno"/>
          <w:rFonts w:ascii="Times New Roman" w:hAnsi="Times New Roman"/>
        </w:rPr>
        <w:t xml:space="preserve"> Pascal                   931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frequentanti </w:t>
      </w:r>
      <w:proofErr w:type="spellStart"/>
      <w:r>
        <w:rPr>
          <w:rStyle w:val="Nessuno"/>
          <w:rFonts w:ascii="Times New Roman" w:hAnsi="Times New Roman"/>
        </w:rPr>
        <w:t>Comandini</w:t>
      </w:r>
      <w:proofErr w:type="spellEnd"/>
      <w:r>
        <w:rPr>
          <w:rStyle w:val="Nessuno"/>
          <w:rFonts w:ascii="Times New Roman" w:hAnsi="Times New Roman"/>
        </w:rPr>
        <w:t xml:space="preserve">           582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………………………………</w:t>
      </w:r>
      <w:proofErr w:type="spellEnd"/>
      <w:r>
        <w:rPr>
          <w:rStyle w:val="Nessuno"/>
          <w:rFonts w:ascii="Times New Roman" w:hAnsi="Times New Roman"/>
        </w:rPr>
        <w:t>.1.513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Ritirati</w:t>
      </w:r>
      <w:r>
        <w:rPr>
          <w:rStyle w:val="Nessuno"/>
          <w:rFonts w:ascii="Times New Roman" w:hAnsi="Times New Roman"/>
        </w:rPr>
        <w:t>………………………</w:t>
      </w:r>
      <w:proofErr w:type="spellEnd"/>
      <w:r>
        <w:rPr>
          <w:rStyle w:val="Nessuno"/>
          <w:rFonts w:ascii="Times New Roman" w:hAnsi="Times New Roman"/>
        </w:rPr>
        <w:t>..119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proofErr w:type="spellStart"/>
      <w:r>
        <w:rPr>
          <w:rStyle w:val="Nessuno"/>
          <w:rFonts w:ascii="Times New Roman" w:hAnsi="Times New Roman"/>
        </w:rPr>
        <w:t>………………………………</w:t>
      </w:r>
      <w:proofErr w:type="spellEnd"/>
      <w:r>
        <w:rPr>
          <w:rStyle w:val="Nessuno"/>
          <w:rFonts w:ascii="Times New Roman" w:hAnsi="Times New Roman"/>
        </w:rPr>
        <w:t>.1.632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Si decide pertanto all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unanimit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di convocare un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 xml:space="preserve">assemblea on </w:t>
      </w:r>
      <w:proofErr w:type="spellStart"/>
      <w:r>
        <w:rPr>
          <w:rStyle w:val="Nessuno"/>
          <w:rFonts w:ascii="Times New Roman" w:hAnsi="Times New Roman"/>
        </w:rPr>
        <w:t>line</w:t>
      </w:r>
      <w:proofErr w:type="spellEnd"/>
      <w:r>
        <w:rPr>
          <w:rStyle w:val="Nessuno"/>
          <w:rFonts w:ascii="Times New Roman" w:hAnsi="Times New Roman"/>
        </w:rPr>
        <w:t xml:space="preserve"> dei rappresentanti genitori di classe per spiegare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importan</w:t>
      </w:r>
      <w:r>
        <w:rPr>
          <w:rStyle w:val="Nessuno"/>
          <w:rFonts w:ascii="Times New Roman" w:hAnsi="Times New Roman"/>
        </w:rPr>
        <w:t>za dei contributi e come vengono spesi dalla scuola, e si invita i rappresentanti studenti di istituto a fare altrettanto nei comitati di base.</w:t>
      </w:r>
    </w:p>
    <w:p w:rsidR="005234DA" w:rsidRDefault="00D36A52">
      <w:pPr>
        <w:ind w:left="168" w:hanging="168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Si decide inoltre di modificare la scheda evento Pago/in/rete riportando la quota complessiva del contributo lib</w:t>
      </w:r>
      <w:r>
        <w:rPr>
          <w:rStyle w:val="Nessuno"/>
          <w:rFonts w:ascii="Times New Roman" w:hAnsi="Times New Roman"/>
        </w:rPr>
        <w:t>erale (attualmente 70 euro IPSIA e 90 euro ITI)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Sulla questione di modificare o meno la quota contributi seguono gli interventi di:</w:t>
      </w:r>
    </w:p>
    <w:p w:rsidR="005234DA" w:rsidRDefault="00D36A52">
      <w:pPr>
        <w:widowControl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-Presidente, sostiene che con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aumento dei costi nella vita la scuola necessita di pi</w:t>
      </w:r>
      <w:r>
        <w:rPr>
          <w:rStyle w:val="Nessuno"/>
          <w:rFonts w:ascii="Times New Roman" w:hAnsi="Times New Roman"/>
          <w:shd w:val="clear" w:color="auto" w:fill="FFFFFF"/>
        </w:rPr>
        <w:t xml:space="preserve">ù </w:t>
      </w:r>
      <w:r>
        <w:rPr>
          <w:rStyle w:val="Nessuno"/>
          <w:rFonts w:ascii="Times New Roman" w:hAnsi="Times New Roman"/>
          <w:shd w:val="clear" w:color="auto" w:fill="FFFFFF"/>
        </w:rPr>
        <w:t xml:space="preserve">risorse economiche per coprire le </w:t>
      </w:r>
      <w:r>
        <w:rPr>
          <w:rStyle w:val="Nessuno"/>
          <w:rFonts w:ascii="Times New Roman" w:hAnsi="Times New Roman"/>
          <w:shd w:val="clear" w:color="auto" w:fill="FFFFFF"/>
        </w:rPr>
        <w:t>spese dei materiali</w:t>
      </w:r>
    </w:p>
    <w:p w:rsidR="005234DA" w:rsidRDefault="00D36A52">
      <w:pPr>
        <w:widowControl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Nessuno"/>
          <w:rFonts w:ascii="Times New Roman" w:hAnsi="Times New Roman"/>
          <w:shd w:val="clear" w:color="auto" w:fill="FFFFFF"/>
        </w:rPr>
        <w:t>-Prof.ssa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Tombetti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, invita ad una scelta intermedia</w:t>
      </w:r>
    </w:p>
    <w:p w:rsidR="005234DA" w:rsidRDefault="00D36A52">
      <w:pPr>
        <w:widowControl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-A A Migliori, precisa che con la pandemia molte famiglie si sono trovate con  i figli a casa con diversi problemi, quindi sarebbe opportuno mantenere la cifra degli scorsi anni</w:t>
      </w:r>
    </w:p>
    <w:p w:rsidR="005234DA" w:rsidRDefault="00D36A52">
      <w:pPr>
        <w:widowControl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- - </w:t>
      </w:r>
      <w:r>
        <w:rPr>
          <w:rStyle w:val="Nessuno"/>
          <w:rFonts w:ascii="Times New Roman" w:hAnsi="Times New Roman"/>
          <w:shd w:val="clear" w:color="auto" w:fill="FFFFFF"/>
        </w:rPr>
        <w:t xml:space="preserve">prof. Filomena: in seguito ad una simulazione (ovviamente ipotetica) di alcuni scenari, si nota che la proposta di unificare tutti i contributi, ad esempio a 90 euro, non porterebbe particolari benefici in quanto ci sarebbe solo un lieve incremento (circa </w:t>
      </w:r>
      <w:r>
        <w:rPr>
          <w:rStyle w:val="Nessuno"/>
          <w:rFonts w:ascii="Times New Roman" w:hAnsi="Times New Roman"/>
          <w:shd w:val="clear" w:color="auto" w:fill="FFFFFF"/>
        </w:rPr>
        <w:t>3000 euro)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introito totale (attualmente 65000 euro); osservando invece che, mentre al Pascal i genitori che non hanno pagato neppure il contributo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obbigatorio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risultano essere pari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11% mentre al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Comandini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(pur essendo complessivamente in un numero</w:t>
      </w:r>
      <w:r>
        <w:rPr>
          <w:rStyle w:val="Nessuno"/>
          <w:rFonts w:ascii="Times New Roman" w:hAnsi="Times New Roman"/>
          <w:shd w:val="clear" w:color="auto" w:fill="FFFFFF"/>
        </w:rPr>
        <w:t xml:space="preserve"> inferiore e con quota inferiore) circa il 25%, qualora anche al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Comandini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questa percentuale si riducesse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11% si avrebbe un incremento di circa 10000 Euro. Inutile proporre adeguamenti verso il basso (tipo 70 euro per tutti), perch</w:t>
      </w:r>
      <w:r>
        <w:rPr>
          <w:rStyle w:val="Nessuno"/>
          <w:rFonts w:ascii="Times New Roman" w:hAnsi="Times New Roman"/>
          <w:shd w:val="clear" w:color="auto" w:fill="FFFFFF"/>
        </w:rPr>
        <w:t xml:space="preserve">é </w:t>
      </w:r>
      <w:r>
        <w:rPr>
          <w:rStyle w:val="Nessuno"/>
          <w:rFonts w:ascii="Times New Roman" w:hAnsi="Times New Roman"/>
          <w:shd w:val="clear" w:color="auto" w:fill="FFFFFF"/>
        </w:rPr>
        <w:t>corrisponderebbero</w:t>
      </w:r>
      <w:r>
        <w:rPr>
          <w:rStyle w:val="Nessuno"/>
          <w:rFonts w:ascii="Times New Roman" w:hAnsi="Times New Roman"/>
          <w:shd w:val="clear" w:color="auto" w:fill="FFFFFF"/>
        </w:rPr>
        <w:t xml:space="preserve"> a ridurre il totale della voce a bilancio. Da queste considerazioni si evince che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aspetto significativo non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unificazione o meno dei contributi, n</w:t>
      </w:r>
      <w:r>
        <w:rPr>
          <w:rStyle w:val="Nessuno"/>
          <w:rFonts w:ascii="Times New Roman" w:hAnsi="Times New Roman"/>
          <w:shd w:val="clear" w:color="auto" w:fill="FFFFFF"/>
        </w:rPr>
        <w:t xml:space="preserve">é </w:t>
      </w:r>
      <w:r>
        <w:rPr>
          <w:rStyle w:val="Nessuno"/>
          <w:rFonts w:ascii="Times New Roman" w:hAnsi="Times New Roman"/>
          <w:shd w:val="clear" w:color="auto" w:fill="FFFFFF"/>
        </w:rPr>
        <w:t>tantomeno un adeguamento della cifra, ma lavorare affinch</w:t>
      </w:r>
      <w:r>
        <w:rPr>
          <w:rStyle w:val="Nessuno"/>
          <w:rFonts w:ascii="Times New Roman" w:hAnsi="Times New Roman"/>
          <w:shd w:val="clear" w:color="auto" w:fill="FFFFFF"/>
        </w:rPr>
        <w:t xml:space="preserve">é </w:t>
      </w:r>
      <w:r>
        <w:rPr>
          <w:rStyle w:val="Nessuno"/>
          <w:rFonts w:ascii="Times New Roman" w:hAnsi="Times New Roman"/>
          <w:shd w:val="clear" w:color="auto" w:fill="FFFFFF"/>
        </w:rPr>
        <w:t>giunga una corretta informazione a proposit</w:t>
      </w:r>
      <w:r>
        <w:rPr>
          <w:rStyle w:val="Nessuno"/>
          <w:rFonts w:ascii="Times New Roman" w:hAnsi="Times New Roman"/>
          <w:shd w:val="clear" w:color="auto" w:fill="FFFFFF"/>
        </w:rPr>
        <w:t>o dei contributi (obbligatori e volontari)  alle famiglie, perch</w:t>
      </w:r>
      <w:r>
        <w:rPr>
          <w:rStyle w:val="Nessuno"/>
          <w:rFonts w:ascii="Times New Roman" w:hAnsi="Times New Roman"/>
          <w:shd w:val="clear" w:color="auto" w:fill="FFFFFF"/>
        </w:rPr>
        <w:t xml:space="preserve">é </w:t>
      </w:r>
      <w:r>
        <w:rPr>
          <w:rStyle w:val="Nessuno"/>
          <w:rFonts w:ascii="Times New Roman" w:hAnsi="Times New Roman"/>
          <w:shd w:val="clear" w:color="auto" w:fill="FFFFFF"/>
        </w:rPr>
        <w:t>se TUTTI gli attuali iscritti avessero pagato la quota intera avremmo un incremento del 100% (circa 65000 Euro) della voce a bilancio, per un totale di circa 130000 Euro.</w:t>
      </w:r>
      <w:r>
        <w:rPr>
          <w:rStyle w:val="Nessuno"/>
          <w:rFonts w:ascii="Times New Roman" w:eastAsia="Times New Roman" w:hAnsi="Times New Roman" w:cs="Times New Roman"/>
          <w:shd w:val="clear" w:color="auto" w:fill="FFFFFF"/>
        </w:rPr>
        <w:br/>
      </w:r>
      <w:r>
        <w:rPr>
          <w:rStyle w:val="Nessuno"/>
          <w:rFonts w:ascii="Times New Roman" w:hAnsi="Times New Roman"/>
          <w:shd w:val="clear" w:color="auto" w:fill="FFFFFF"/>
        </w:rPr>
        <w:t>A proposito di info</w:t>
      </w:r>
      <w:r>
        <w:rPr>
          <w:rStyle w:val="Nessuno"/>
          <w:rFonts w:ascii="Times New Roman" w:hAnsi="Times New Roman"/>
          <w:shd w:val="clear" w:color="auto" w:fill="FFFFFF"/>
        </w:rPr>
        <w:t xml:space="preserve">rmazioni non correttamente recepite, riporta il caso di un proprio studente che gli ha posto la domanda </w:t>
      </w:r>
      <w:r>
        <w:rPr>
          <w:rStyle w:val="Nessuno"/>
          <w:rFonts w:ascii="Times New Roman" w:hAnsi="Times New Roman"/>
          <w:shd w:val="clear" w:color="auto" w:fill="FFFFFF"/>
        </w:rPr>
        <w:t>“</w:t>
      </w:r>
      <w:r>
        <w:rPr>
          <w:rStyle w:val="Nessuno"/>
          <w:rFonts w:ascii="Times New Roman" w:hAnsi="Times New Roman"/>
          <w:shd w:val="clear" w:color="auto" w:fill="FFFFFF"/>
        </w:rPr>
        <w:t>i 15 euro per il badge vanno pagati tutti gli anni?</w:t>
      </w:r>
      <w:r>
        <w:rPr>
          <w:rStyle w:val="Nessuno"/>
          <w:rFonts w:ascii="Times New Roman" w:hAnsi="Times New Roman"/>
          <w:shd w:val="clear" w:color="auto" w:fill="FFFFFF"/>
        </w:rPr>
        <w:t>”</w:t>
      </w:r>
      <w:r>
        <w:rPr>
          <w:rStyle w:val="Nessuno"/>
          <w:rFonts w:ascii="Times New Roman" w:hAnsi="Times New Roman"/>
          <w:shd w:val="clear" w:color="auto" w:fill="FFFFFF"/>
        </w:rPr>
        <w:t>.</w:t>
      </w:r>
    </w:p>
    <w:p w:rsidR="005234DA" w:rsidRDefault="00D36A52">
      <w:pPr>
        <w:widowControl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DS: concorda con la prima osservazione del prof. Filomena. Sulla seconda, chiede a tutti i consig</w:t>
      </w:r>
      <w:r>
        <w:rPr>
          <w:rStyle w:val="Nessuno"/>
          <w:rFonts w:ascii="Times New Roman" w:hAnsi="Times New Roman"/>
          <w:shd w:val="clear" w:color="auto" w:fill="FFFFFF"/>
        </w:rPr>
        <w:t xml:space="preserve">lieri, specie i rappresentanti alunni, di spiegare agli alunni che non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il badge che si paga ogni anno ma il canone del software di rilevazione elettronica delle presenze, di cui il badge rappresenta solo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oggetto fisico.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Si decide infine di mettere ai v</w:t>
      </w:r>
      <w:r>
        <w:rPr>
          <w:rStyle w:val="Nessuno"/>
          <w:rFonts w:ascii="Times New Roman" w:hAnsi="Times New Roman"/>
          <w:shd w:val="clear" w:color="auto" w:fill="FFFFFF"/>
        </w:rPr>
        <w:t>oti le seguenti proposte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Proposta del presidente: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85 euro per IPSIA e 100 euro per ITI a valere da quest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anno, con prospettiva di omologazione a 100 euro nei prossimi anni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Due voti a favore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Proposta prof.ssa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Tombetti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: 75 euro IPSIA e 95 euro ITI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Due voti a</w:t>
      </w:r>
      <w:r>
        <w:rPr>
          <w:rStyle w:val="Nessuno"/>
          <w:rFonts w:ascii="Times New Roman" w:hAnsi="Times New Roman"/>
          <w:shd w:val="clear" w:color="auto" w:fill="FFFFFF"/>
        </w:rPr>
        <w:t xml:space="preserve"> favore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Proposta AA Migliori: lasciare inalterati i contributi per valutare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impatto degli anni di emergenza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covid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passati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14 voti a favore</w:t>
      </w:r>
    </w:p>
    <w:p w:rsidR="005234DA" w:rsidRDefault="00D36A52">
      <w:pPr>
        <w:widowControl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Viene approvata dunque la proposta Migliori</w:t>
      </w:r>
    </w:p>
    <w:p w:rsidR="005234DA" w:rsidRDefault="005234DA">
      <w:pPr>
        <w:widowControl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Delibera  5</w:t>
      </w:r>
    </w:p>
    <w:p w:rsidR="005234DA" w:rsidRDefault="005234DA">
      <w:pPr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5234DA" w:rsidRDefault="005234DA">
      <w:pPr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5234DA" w:rsidRDefault="00D36A52">
      <w:pPr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6. Provvedimento disciplinari per alunni deferiti dai </w:t>
      </w:r>
      <w:proofErr w:type="spellStart"/>
      <w:r>
        <w:rPr>
          <w:rStyle w:val="Nessuno"/>
          <w:rFonts w:ascii="Times New Roman" w:hAnsi="Times New Roman"/>
          <w:b/>
          <w:bCs/>
        </w:rPr>
        <w:t>cdc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al CDI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Per alunno di 2G IPSIA, deferito dal consiglio di classe, per fatti relativi a vandalismo verso i distributori automatici, valutati anche i precedenti disciplinari e le precedenti sospensioni scolastiche,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ultima delle quali di 15 giorni, la pr</w:t>
      </w:r>
      <w:r>
        <w:rPr>
          <w:rStyle w:val="Nessuno"/>
          <w:rFonts w:ascii="Times New Roman" w:hAnsi="Times New Roman"/>
          <w:shd w:val="clear" w:color="auto" w:fill="FFFFFF"/>
        </w:rPr>
        <w:t xml:space="preserve">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Montemurro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espone il caso e risponde alle domande di: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prof. Filomena: chiede alla collega, che conosce bene lo studente in quanto proprio alunno, di esporre la propria opinione in merito al percorso pi</w:t>
      </w:r>
      <w:r>
        <w:rPr>
          <w:rStyle w:val="Nessuno"/>
          <w:rFonts w:ascii="Times New Roman" w:hAnsi="Times New Roman"/>
          <w:shd w:val="clear" w:color="auto" w:fill="FFFFFF"/>
        </w:rPr>
        <w:t xml:space="preserve">ù </w:t>
      </w:r>
      <w:r>
        <w:rPr>
          <w:rStyle w:val="Nessuno"/>
          <w:rFonts w:ascii="Times New Roman" w:hAnsi="Times New Roman"/>
          <w:shd w:val="clear" w:color="auto" w:fill="FFFFFF"/>
        </w:rPr>
        <w:t>idoneo al bene dello studente stesso.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la prof </w:t>
      </w:r>
      <w:r>
        <w:rPr>
          <w:rStyle w:val="Nessuno"/>
          <w:rFonts w:ascii="Times New Roman" w:hAnsi="Times New Roman"/>
          <w:shd w:val="clear" w:color="auto" w:fill="FFFFFF"/>
        </w:rPr>
        <w:t xml:space="preserve">risponde che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 xml:space="preserve">un ragazzo che quando sospeso e deferito al Binario 5 si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anche comportato bene, ma ha ampiamente manifestato insofferenza totale dello spazio classe e non ha alcun interesse a proseguire gli studi nel nostro istituto. Ha proprio insofferen</w:t>
      </w:r>
      <w:r>
        <w:rPr>
          <w:rStyle w:val="Nessuno"/>
          <w:rFonts w:ascii="Times New Roman" w:hAnsi="Times New Roman"/>
          <w:shd w:val="clear" w:color="auto" w:fill="FFFFFF"/>
        </w:rPr>
        <w:t>za verso la condizione di apprendimento in aula.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Presidente: chiede se vi sono stati in questi mesi contatti coi genitori e nel caso quale sia la situazione. Propone inoltre la sospensione fino a fine anno senza obbligo di frequenza visti i precedenti, con</w:t>
      </w:r>
      <w:r>
        <w:rPr>
          <w:rStyle w:val="Nessuno"/>
          <w:rFonts w:ascii="Times New Roman" w:hAnsi="Times New Roman"/>
          <w:shd w:val="clear" w:color="auto" w:fill="FFFFFF"/>
        </w:rPr>
        <w:t xml:space="preserve"> esclusione dagli scrutini.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La prof.ssa risponde che vi sono stati contatti ma il ragazzo ha una situazione familiare difficilissima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Prof.ssa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Tombetti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: dichiarando che prima di lasciare un alunno a casa per un intero anno preferisce sempre pensare a tutte </w:t>
      </w:r>
      <w:r>
        <w:rPr>
          <w:rStyle w:val="Nessuno"/>
          <w:rFonts w:ascii="Times New Roman" w:hAnsi="Times New Roman"/>
          <w:shd w:val="clear" w:color="auto" w:fill="FFFFFF"/>
        </w:rPr>
        <w:t>le possibili alternative, chiede se possiamo tenerlo a scuola con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alternative al lavoro di aula, per esempio anche attraverso lo studio assistito.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Il DS spiega che lo studio assistito per alunni che non fanno IRC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pur sempre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d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aula con i</w:t>
      </w:r>
      <w:r>
        <w:rPr>
          <w:rStyle w:val="Nessuno"/>
          <w:rFonts w:ascii="Times New Roman" w:hAnsi="Times New Roman"/>
          <w:shd w:val="clear" w:color="auto" w:fill="FFFFFF"/>
        </w:rPr>
        <w:t>l rischio ulteriore che starebbe anche non con suoi docenti e compagni. Spiega per</w:t>
      </w:r>
      <w:r>
        <w:rPr>
          <w:rStyle w:val="Nessuno"/>
          <w:rFonts w:ascii="Times New Roman" w:hAnsi="Times New Roman"/>
          <w:shd w:val="clear" w:color="auto" w:fill="FFFFFF"/>
        </w:rPr>
        <w:t xml:space="preserve">ò </w:t>
      </w:r>
      <w:r>
        <w:rPr>
          <w:rStyle w:val="Nessuno"/>
          <w:rFonts w:ascii="Times New Roman" w:hAnsi="Times New Roman"/>
          <w:shd w:val="clear" w:color="auto" w:fill="FFFFFF"/>
        </w:rPr>
        <w:t xml:space="preserve">che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possibile individuare altre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da affidare al servizio per alunni sospesi, e che si pu</w:t>
      </w:r>
      <w:r>
        <w:rPr>
          <w:rStyle w:val="Nessuno"/>
          <w:rFonts w:ascii="Times New Roman" w:hAnsi="Times New Roman"/>
          <w:shd w:val="clear" w:color="auto" w:fill="FFFFFF"/>
        </w:rPr>
        <w:t xml:space="preserve">ò </w:t>
      </w:r>
      <w:r>
        <w:rPr>
          <w:rStyle w:val="Nessuno"/>
          <w:rFonts w:ascii="Times New Roman" w:hAnsi="Times New Roman"/>
          <w:shd w:val="clear" w:color="auto" w:fill="FFFFFF"/>
        </w:rPr>
        <w:t>continuare a mandarlo al Binario 5 visto che l</w:t>
      </w:r>
      <w:r>
        <w:rPr>
          <w:rStyle w:val="Nessuno"/>
          <w:rFonts w:ascii="Times New Roman" w:hAnsi="Times New Roman"/>
          <w:shd w:val="clear" w:color="auto" w:fill="FFFFFF"/>
        </w:rPr>
        <w:t xml:space="preserve">ì </w:t>
      </w:r>
      <w:r>
        <w:rPr>
          <w:rStyle w:val="Nessuno"/>
          <w:rFonts w:ascii="Times New Roman" w:hAnsi="Times New Roman"/>
          <w:shd w:val="clear" w:color="auto" w:fill="FFFFFF"/>
        </w:rPr>
        <w:t>ha lavorato bene. Propon</w:t>
      </w:r>
      <w:r>
        <w:rPr>
          <w:rStyle w:val="Nessuno"/>
          <w:rFonts w:ascii="Times New Roman" w:hAnsi="Times New Roman"/>
          <w:shd w:val="clear" w:color="auto" w:fill="FFFFFF"/>
        </w:rPr>
        <w:t>e pertanto una integrazione alla proposta del presidente, ovvero sospensione fino a fine anno senza obbligo di frequenza e esclusione dagli scrutini ma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alternative tra cui Binario 5 e tutte le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che sar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possibile fargli fare a scuola.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Al t</w:t>
      </w:r>
      <w:r>
        <w:rPr>
          <w:rStyle w:val="Nessuno"/>
          <w:rFonts w:ascii="Times New Roman" w:hAnsi="Times New Roman"/>
          <w:shd w:val="clear" w:color="auto" w:fill="FFFFFF"/>
        </w:rPr>
        <w:t>ermine degli interventi si propone e viene votata a maggioranza con un solo voto contrario (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Baronio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) la seguente decisione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sospensione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allievo [OMISSIS] senza obbligo di frequenza fino al termine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anno scolastico con esclusione dagli scrutini come</w:t>
      </w:r>
      <w:r>
        <w:rPr>
          <w:rStyle w:val="Nessuno"/>
          <w:rFonts w:ascii="Times New Roman" w:hAnsi="Times New Roman"/>
          <w:shd w:val="clear" w:color="auto" w:fill="FFFFFF"/>
        </w:rPr>
        <w:t xml:space="preserve"> da DPR 235/07 e con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alternative alla frequenza in aula come da proposta DS</w:t>
      </w:r>
    </w:p>
    <w:p w:rsidR="005234DA" w:rsidRDefault="00D36A52">
      <w:pPr>
        <w:pStyle w:val="DidefaultA"/>
        <w:spacing w:before="0" w:line="24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hd w:val="clear" w:color="auto" w:fill="FFFFFF"/>
        </w:rPr>
        <w:t>Delibera  6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5234DA" w:rsidRDefault="00D36A52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per altro alunno, 3A IPSIA, pur esso deferito dal consiglio di classe, Il vicepreside Bartoletti illustra brevemente quanto gi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inviato ai consiglieri in data</w:t>
      </w:r>
      <w:r>
        <w:rPr>
          <w:rStyle w:val="Nessuno"/>
          <w:rFonts w:ascii="Times New Roman" w:hAnsi="Times New Roman"/>
        </w:rPr>
        <w:t xml:space="preserve"> 20/1 ovvero la relazione del coordinatore di classe 3A IPSIA che qui si riporta integralmente</w:t>
      </w:r>
    </w:p>
    <w:p w:rsidR="005234DA" w:rsidRDefault="00D36A52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>Lo studente dall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inizio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anno a oggi ha mantenuto un comportamento scorretto nei confronti dei docenti, dei collaboratori scolastici e in taluni casi ha imp</w:t>
      </w:r>
      <w:r>
        <w:rPr>
          <w:rStyle w:val="Nessuno"/>
          <w:rFonts w:ascii="Times New Roman" w:hAnsi="Times New Roman"/>
        </w:rPr>
        <w:t>edito il regolare svolgimento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attivit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didattica. A tal proposito si fa notare che allo studente, in quasi quattro mesi di scuola, sono stati notificati diversi provvedimenti disciplinari.</w:t>
      </w:r>
    </w:p>
    <w:p w:rsidR="005234DA" w:rsidRDefault="005234DA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In particolare per due di questi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stato adottato un provvedi</w:t>
      </w:r>
      <w:r>
        <w:rPr>
          <w:rStyle w:val="Nessuno"/>
          <w:rFonts w:ascii="Times New Roman" w:hAnsi="Times New Roman"/>
          <w:shd w:val="clear" w:color="auto" w:fill="FFFFFF"/>
        </w:rPr>
        <w:t xml:space="preserve">mento alternativo: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 xml:space="preserve">stata prevista una sospensione con obbligo di frequenza soltanto nelle ore utili per prepararsi adeguatamente a sostenere l'esame di qualifica. Il provvedimento si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rivelato adeguato, infatti lo studente ha conseguito la qualifica.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 </w:t>
      </w:r>
      <w:r>
        <w:rPr>
          <w:rStyle w:val="Nessuno"/>
          <w:rFonts w:ascii="Times New Roman" w:hAnsi="Times New Roman"/>
          <w:shd w:val="clear" w:color="auto" w:fill="FFFFFF"/>
        </w:rPr>
        <w:t xml:space="preserve">Inoltre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stato emanato un ulteriore</w:t>
      </w:r>
      <w:r>
        <w:rPr>
          <w:rStyle w:val="Nessuno"/>
          <w:rFonts w:ascii="Times New Roman" w:hAnsi="Times New Roman"/>
          <w:shd w:val="clear" w:color="auto" w:fill="FFFFFF"/>
        </w:rPr>
        <w:t> </w:t>
      </w:r>
      <w:r>
        <w:rPr>
          <w:rStyle w:val="Nessuno"/>
          <w:rFonts w:ascii="Times New Roman" w:hAnsi="Times New Roman"/>
          <w:shd w:val="clear" w:color="auto" w:fill="FFFFFF"/>
        </w:rPr>
        <w:t>provvedimento dal CDI per comportamenti vandalici a danno dei distributori automatici di bevande e di snack posizionati negli spazi interni alla scuola, che ha comportato una sospensione fino al termine del primo quadri</w:t>
      </w:r>
      <w:r>
        <w:rPr>
          <w:rStyle w:val="Nessuno"/>
          <w:rFonts w:ascii="Times New Roman" w:hAnsi="Times New Roman"/>
          <w:shd w:val="clear" w:color="auto" w:fill="FFFFFF"/>
        </w:rPr>
        <w:t>mestre.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Dopo questo breve riassunto, le condivido un ulteriore aggiornamento.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 </w:t>
      </w:r>
      <w:r>
        <w:rPr>
          <w:rStyle w:val="Nessuno"/>
          <w:rFonts w:ascii="Times New Roman" w:hAnsi="Times New Roman"/>
          <w:shd w:val="clear" w:color="auto" w:fill="FFFFFF"/>
        </w:rPr>
        <w:t xml:space="preserve">In data 16 dicembre lo studente ha ricevuto un ulteriore richiamo che allego a questa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email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insieme ai richiami presenti sul registro.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Dopo una consultazione via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email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con il </w:t>
      </w:r>
      <w:r>
        <w:rPr>
          <w:rStyle w:val="Nessuno"/>
          <w:rFonts w:ascii="Times New Roman" w:hAnsi="Times New Roman"/>
          <w:shd w:val="clear" w:color="auto" w:fill="FFFFFF"/>
        </w:rPr>
        <w:t xml:space="preserve">consiglio di classe e un confronto con la commissione sospesi si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deciso a maggioranza di deferire nuovamente lo studente al CDI. Inoltre alcuni docenti hanno osservato come l'atteggiamento dello studente si ripercuota anche su alunni di classi differenti</w:t>
      </w:r>
      <w:r>
        <w:rPr>
          <w:rStyle w:val="Nessuno"/>
          <w:rFonts w:ascii="Times New Roman" w:hAnsi="Times New Roman"/>
          <w:shd w:val="clear" w:color="auto" w:fill="FFFFFF"/>
        </w:rPr>
        <w:t>”</w:t>
      </w:r>
      <w:r>
        <w:rPr>
          <w:rStyle w:val="Nessuno"/>
          <w:rFonts w:ascii="Times New Roman" w:hAnsi="Times New Roman"/>
          <w:shd w:val="clear" w:color="auto" w:fill="FFFFFF"/>
        </w:rPr>
        <w:t>.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Per i fatti dunque accaduti il 16/12, di cui al RSD compilato dal coordinatore 3A e dal vicepreside prof. Bartoletti il 17/12, considerando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aggravante che lo studente era in quell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epoca sospeso e col solo permesso di essere a scuola per fare gli </w:t>
      </w:r>
      <w:r>
        <w:rPr>
          <w:rStyle w:val="Nessuno"/>
          <w:rFonts w:ascii="Times New Roman" w:hAnsi="Times New Roman"/>
          <w:shd w:val="clear" w:color="auto" w:fill="FFFFFF"/>
        </w:rPr>
        <w:t>esami IEFP, e considerata la relazione ivi allegata del coordinatore di classe, il Consiglio di Istituto, dopo i seguenti interventi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Nessuno"/>
          <w:rFonts w:ascii="Times New Roman" w:hAnsi="Times New Roman"/>
          <w:shd w:val="clear" w:color="auto" w:fill="FFFFFF"/>
        </w:rPr>
        <w:t>-Prof.ssa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Montemurro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, sostiene che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alunno non ha mostrato nessun tipo di miglioramento causando situazioni non gestibili </w:t>
      </w:r>
      <w:r>
        <w:rPr>
          <w:rStyle w:val="Nessuno"/>
          <w:rFonts w:ascii="Times New Roman" w:hAnsi="Times New Roman"/>
          <w:shd w:val="clear" w:color="auto" w:fill="FFFFFF"/>
        </w:rPr>
        <w:t>sia in classe che nei corridoi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-Presidente, propone la sospensione fino a fine anno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Su proposta del DS (motivata dal fatto che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allievo non ha nemmeno le attenuanti del caso precedente) decide a maggioranza con un solo voto contrario (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Baronio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) la seguente</w:t>
      </w:r>
      <w:r>
        <w:rPr>
          <w:rStyle w:val="Nessuno"/>
          <w:rFonts w:ascii="Times New Roman" w:hAnsi="Times New Roman"/>
          <w:shd w:val="clear" w:color="auto" w:fill="FFFFFF"/>
        </w:rPr>
        <w:t xml:space="preserve"> sanzione: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sospensione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allievo [OMISSIS] senza obbligo di frequenza fino al termine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anno scolastico con esclusione dagli scrutini come da DPR 235/07</w:t>
      </w:r>
    </w:p>
    <w:p w:rsidR="005234DA" w:rsidRDefault="00D36A52">
      <w:pPr>
        <w:pStyle w:val="DidefaultA"/>
        <w:spacing w:before="0" w:line="24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hd w:val="clear" w:color="auto" w:fill="FFFFFF"/>
        </w:rPr>
        <w:t>Delibera  7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Al termine delle due delibere sulla sospensione alunni la prof.ssa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Alecci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chiede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organo di garanzia se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possibile fare in modo che non succeda che il periodo della sospensione venga sensibilmente diminuito,</w:t>
      </w:r>
      <w:r>
        <w:rPr>
          <w:rStyle w:val="Nessuno"/>
          <w:rFonts w:ascii="Times New Roman" w:hAnsi="Times New Roman"/>
          <w:shd w:val="clear" w:color="auto" w:fill="FFFFFF"/>
        </w:rPr>
        <w:t xml:space="preserve">  </w:t>
      </w:r>
      <w:r>
        <w:rPr>
          <w:rStyle w:val="Nessuno"/>
          <w:rFonts w:ascii="Times New Roman" w:hAnsi="Times New Roman"/>
          <w:shd w:val="clear" w:color="auto" w:fill="FFFFFF"/>
        </w:rPr>
        <w:t xml:space="preserve">come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accaduto la volta scorsa, considerando che la revisione della decisione presa in precedente occasione (Sospensione di al</w:t>
      </w:r>
      <w:r>
        <w:rPr>
          <w:rStyle w:val="Nessuno"/>
          <w:rFonts w:ascii="Times New Roman" w:hAnsi="Times New Roman"/>
          <w:shd w:val="clear" w:color="auto" w:fill="FFFFFF"/>
        </w:rPr>
        <w:t>unno 1G IPSIA) ha sollevato imbarazzo in diversi genitori e docenti dei due plessi.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La signora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Taddini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, membro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organo, risponde dicendo che queste decisioni possono essere cambiate dall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organo di garanzia perch</w:t>
      </w:r>
      <w:r>
        <w:rPr>
          <w:rStyle w:val="Nessuno"/>
          <w:rFonts w:ascii="Times New Roman" w:hAnsi="Times New Roman"/>
          <w:shd w:val="clear" w:color="auto" w:fill="FFFFFF"/>
        </w:rPr>
        <w:t xml:space="preserve">é </w:t>
      </w:r>
      <w:r>
        <w:rPr>
          <w:rStyle w:val="Nessuno"/>
          <w:rFonts w:ascii="Times New Roman" w:hAnsi="Times New Roman"/>
          <w:shd w:val="clear" w:color="auto" w:fill="FFFFFF"/>
        </w:rPr>
        <w:t>magari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organo di garanzia acquisisce </w:t>
      </w:r>
      <w:r>
        <w:rPr>
          <w:rStyle w:val="Nessuno"/>
          <w:rFonts w:ascii="Times New Roman" w:hAnsi="Times New Roman"/>
          <w:shd w:val="clear" w:color="auto" w:fill="FFFFFF"/>
        </w:rPr>
        <w:t xml:space="preserve">nuovi e importanti elementi che cambiano la prospettiva, come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 xml:space="preserve">accaduto nel caso specifico a cui la prof.ssa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Alecci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fa riferimento.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Il DS risponde per sua parte che non pu</w:t>
      </w:r>
      <w:r>
        <w:rPr>
          <w:rStyle w:val="Nessuno"/>
          <w:rFonts w:ascii="Times New Roman" w:hAnsi="Times New Roman"/>
          <w:shd w:val="clear" w:color="auto" w:fill="FFFFFF"/>
        </w:rPr>
        <w:t xml:space="preserve">ò </w:t>
      </w:r>
      <w:r>
        <w:rPr>
          <w:rStyle w:val="Nessuno"/>
          <w:rFonts w:ascii="Times New Roman" w:hAnsi="Times New Roman"/>
          <w:shd w:val="clear" w:color="auto" w:fill="FFFFFF"/>
        </w:rPr>
        <w:t>raccogliere questo invito in generale in quanto come membro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organo di garanzi</w:t>
      </w:r>
      <w:r>
        <w:rPr>
          <w:rStyle w:val="Nessuno"/>
          <w:rFonts w:ascii="Times New Roman" w:hAnsi="Times New Roman"/>
          <w:shd w:val="clear" w:color="auto" w:fill="FFFFFF"/>
        </w:rPr>
        <w:t>a si ritiene libero di rivedere e rovesciare decisioni prese dal CDI se intervengono nuovi elementi o informazioni pi</w:t>
      </w:r>
      <w:r>
        <w:rPr>
          <w:rStyle w:val="Nessuno"/>
          <w:rFonts w:ascii="Times New Roman" w:hAnsi="Times New Roman"/>
          <w:shd w:val="clear" w:color="auto" w:fill="FFFFFF"/>
        </w:rPr>
        <w:t xml:space="preserve">ù </w:t>
      </w:r>
      <w:r>
        <w:rPr>
          <w:rStyle w:val="Nessuno"/>
          <w:rFonts w:ascii="Times New Roman" w:hAnsi="Times New Roman"/>
          <w:shd w:val="clear" w:color="auto" w:fill="FFFFFF"/>
        </w:rPr>
        <w:t xml:space="preserve">approfondite (come detto dalla sig.ra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Taddini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) o anche se sul piano formale o materiale ritiene in coscienza che il CDI non abbia preso l</w:t>
      </w:r>
      <w:r>
        <w:rPr>
          <w:rStyle w:val="Nessuno"/>
          <w:rFonts w:ascii="Times New Roman" w:hAnsi="Times New Roman"/>
          <w:shd w:val="clear" w:color="auto" w:fill="FFFFFF"/>
        </w:rPr>
        <w:t>a decisione giusta. Naturalmente resta fermo che 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 xml:space="preserve">organo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convocato solo su richiesta della famiglia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allievo punito. Nel caso specifico, pu</w:t>
      </w:r>
      <w:r>
        <w:rPr>
          <w:rStyle w:val="Nessuno"/>
          <w:rFonts w:ascii="Times New Roman" w:hAnsi="Times New Roman"/>
          <w:shd w:val="clear" w:color="auto" w:fill="FFFFFF"/>
        </w:rPr>
        <w:t xml:space="preserve">ò </w:t>
      </w:r>
      <w:r>
        <w:rPr>
          <w:rStyle w:val="Nessuno"/>
          <w:rFonts w:ascii="Times New Roman" w:hAnsi="Times New Roman"/>
          <w:shd w:val="clear" w:color="auto" w:fill="FFFFFF"/>
        </w:rPr>
        <w:t>per</w:t>
      </w:r>
      <w:r>
        <w:rPr>
          <w:rStyle w:val="Nessuno"/>
          <w:rFonts w:ascii="Times New Roman" w:hAnsi="Times New Roman"/>
          <w:shd w:val="clear" w:color="auto" w:fill="FFFFFF"/>
        </w:rPr>
        <w:t xml:space="preserve">ò </w:t>
      </w:r>
      <w:r>
        <w:rPr>
          <w:rStyle w:val="Nessuno"/>
          <w:rFonts w:ascii="Times New Roman" w:hAnsi="Times New Roman"/>
          <w:shd w:val="clear" w:color="auto" w:fill="FFFFFF"/>
        </w:rPr>
        <w:t>garantire che se non emergono nuovi elementi o nuove questioni, non cambier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 xml:space="preserve">il suo parere essendo il </w:t>
      </w:r>
      <w:r>
        <w:rPr>
          <w:rStyle w:val="Nessuno"/>
          <w:rFonts w:ascii="Times New Roman" w:hAnsi="Times New Roman"/>
          <w:shd w:val="clear" w:color="auto" w:fill="FFFFFF"/>
        </w:rPr>
        <w:t>proponente di una delle due proposte di sospensione.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Informa inoltre che da parte sua non ha ricevuto alcuna contestazione o lamentela sull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episodio  scorso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alunno di 1G, tranne che da parte della docente vittima dell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episodio.</w:t>
      </w:r>
    </w:p>
    <w:p w:rsidR="005234DA" w:rsidRDefault="00D36A52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La prof.ssa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Alecci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infi</w:t>
      </w:r>
      <w:r>
        <w:rPr>
          <w:rStyle w:val="Nessuno"/>
          <w:rFonts w:ascii="Times New Roman" w:hAnsi="Times New Roman"/>
          <w:shd w:val="clear" w:color="auto" w:fill="FFFFFF"/>
        </w:rPr>
        <w:t>ne risponde sottolineando che naturalmente la sua era solo una richiesta.</w:t>
      </w:r>
    </w:p>
    <w:p w:rsidR="005234DA" w:rsidRDefault="005234DA">
      <w:pPr>
        <w:pStyle w:val="DidefaultA"/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</w:p>
    <w:p w:rsidR="005234DA" w:rsidRDefault="00D36A52">
      <w:pPr>
        <w:numPr>
          <w:ilvl w:val="0"/>
          <w:numId w:val="8"/>
        </w:numPr>
        <w:jc w:val="both"/>
        <w:rPr>
          <w:rFonts w:ascii="Times New Roman" w:hAnsi="Times New Roman"/>
          <w:b/>
          <w:bCs/>
        </w:rPr>
      </w:pPr>
      <w:r>
        <w:rPr>
          <w:rStyle w:val="Nessuno"/>
          <w:rFonts w:ascii="Times New Roman" w:hAnsi="Times New Roman"/>
          <w:b/>
          <w:bCs/>
          <w:kern w:val="1"/>
        </w:rPr>
        <w:t>Varie ed eventuali dai consiglieri/e</w:t>
      </w:r>
    </w:p>
    <w:p w:rsidR="005234DA" w:rsidRDefault="0052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right"/>
        <w:rPr>
          <w:rStyle w:val="Nessuno"/>
          <w:rFonts w:ascii="Times New Roman" w:eastAsia="Times New Roman" w:hAnsi="Times New Roman" w:cs="Times New Roman"/>
          <w:b/>
          <w:bCs/>
          <w:kern w:val="1"/>
        </w:rPr>
      </w:pPr>
    </w:p>
    <w:p w:rsidR="005234DA" w:rsidRDefault="00D36A52">
      <w:pPr>
        <w:pStyle w:val="DidefaultA"/>
        <w:spacing w:before="0" w:line="240" w:lineRule="auto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Vengono proposte dagli studenti:</w:t>
      </w:r>
    </w:p>
    <w:p w:rsidR="005234DA" w:rsidRDefault="00D36A52">
      <w:pPr>
        <w:pStyle w:val="DidefaultA"/>
        <w:numPr>
          <w:ilvl w:val="0"/>
          <w:numId w:val="10"/>
        </w:numPr>
        <w:spacing w:before="0" w:line="240" w:lineRule="auto"/>
        <w:rPr>
          <w:rFonts w:ascii="Times New Roman" w:hAnsi="Times New Roman"/>
        </w:rPr>
      </w:pPr>
      <w:r>
        <w:rPr>
          <w:rStyle w:val="Nessuno"/>
          <w:rFonts w:ascii="Times New Roman" w:hAnsi="Times New Roman"/>
          <w:shd w:val="clear" w:color="auto" w:fill="FFFFFF"/>
        </w:rPr>
        <w:t>Cineforum per il 14 marzo, distinto fra biennio e triennio per entrambi i plessi</w:t>
      </w:r>
    </w:p>
    <w:p w:rsidR="005234DA" w:rsidRDefault="00D36A52">
      <w:pPr>
        <w:pStyle w:val="DidefaultA"/>
        <w:spacing w:before="0" w:line="240" w:lineRule="auto"/>
        <w:ind w:left="720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Approvato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unaniminit</w:t>
      </w:r>
      <w:r>
        <w:rPr>
          <w:rStyle w:val="Nessuno"/>
          <w:rFonts w:ascii="Times New Roman" w:hAnsi="Times New Roman"/>
          <w:shd w:val="clear" w:color="auto" w:fill="FFFFFF"/>
        </w:rPr>
        <w:t>à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</w:t>
      </w:r>
    </w:p>
    <w:p w:rsidR="005234DA" w:rsidRDefault="00D36A52">
      <w:pPr>
        <w:pStyle w:val="DidefaultA"/>
        <w:numPr>
          <w:ilvl w:val="0"/>
          <w:numId w:val="10"/>
        </w:numPr>
        <w:spacing w:before="0" w:line="240" w:lineRule="auto"/>
        <w:rPr>
          <w:rFonts w:ascii="Times New Roman" w:hAnsi="Times New Roman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Festa di istituto per il giorno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pre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>/vacanze pasquali /13 aprile) con tornei sportivi</w:t>
      </w:r>
    </w:p>
    <w:p w:rsidR="005234DA" w:rsidRDefault="00D36A52">
      <w:pPr>
        <w:pStyle w:val="DidefaultA"/>
        <w:spacing w:before="0" w:line="240" w:lineRule="auto"/>
        <w:ind w:left="720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Approvato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unanimit</w:t>
      </w:r>
      <w:r>
        <w:rPr>
          <w:rStyle w:val="Nessuno"/>
          <w:rFonts w:ascii="Times New Roman" w:hAnsi="Times New Roman"/>
          <w:shd w:val="clear" w:color="auto" w:fill="FFFFFF"/>
        </w:rPr>
        <w:t>à</w:t>
      </w:r>
    </w:p>
    <w:p w:rsidR="005234DA" w:rsidRDefault="00D36A52">
      <w:pPr>
        <w:pStyle w:val="DidefaultA"/>
        <w:numPr>
          <w:ilvl w:val="0"/>
          <w:numId w:val="10"/>
        </w:numPr>
        <w:spacing w:before="0" w:line="240" w:lineRule="auto"/>
        <w:rPr>
          <w:rFonts w:ascii="Times New Roman" w:hAnsi="Times New Roman"/>
        </w:rPr>
      </w:pPr>
      <w:r>
        <w:rPr>
          <w:rStyle w:val="Nessuno"/>
          <w:rFonts w:ascii="Times New Roman" w:hAnsi="Times New Roman"/>
          <w:shd w:val="clear" w:color="auto" w:fill="FFFFFF"/>
        </w:rPr>
        <w:t>Proposta di integrazione del curricolo di educazione civica con educazione sessuale e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affettivit</w:t>
      </w:r>
      <w:r>
        <w:rPr>
          <w:rStyle w:val="Nessuno"/>
          <w:rFonts w:ascii="Times New Roman" w:hAnsi="Times New Roman"/>
          <w:shd w:val="clear" w:color="auto" w:fill="FFFFFF"/>
        </w:rPr>
        <w:t>à</w:t>
      </w:r>
    </w:p>
    <w:p w:rsidR="005234DA" w:rsidRDefault="00D36A52">
      <w:pPr>
        <w:pStyle w:val="DidefaultA"/>
        <w:spacing w:before="0" w:line="240" w:lineRule="auto"/>
        <w:ind w:left="720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Quanto al punto 3 il rappresentante </w:t>
      </w:r>
      <w:proofErr w:type="spellStart"/>
      <w:r>
        <w:rPr>
          <w:rFonts w:ascii="Times Roman" w:hAnsi="Times Roman"/>
        </w:rPr>
        <w:t>Venturini</w:t>
      </w:r>
      <w:proofErr w:type="spellEnd"/>
      <w:r>
        <w:rPr>
          <w:rFonts w:ascii="Times Roman" w:hAnsi="Times Roman"/>
        </w:rPr>
        <w:t xml:space="preserve"> spiega:</w:t>
      </w:r>
    </w:p>
    <w:p w:rsidR="005234DA" w:rsidRDefault="00D36A52">
      <w:pPr>
        <w:pStyle w:val="DidefaultA"/>
        <w:spacing w:before="0" w:line="240" w:lineRule="auto"/>
        <w:ind w:left="720"/>
        <w:jc w:val="both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hAnsi="Times Roman"/>
        </w:rPr>
        <w:t xml:space="preserve">Gli studenti </w:t>
      </w:r>
      <w:r>
        <w:rPr>
          <w:rStyle w:val="Nessuno"/>
          <w:rFonts w:ascii="Times Roman" w:hAnsi="Times Roman"/>
        </w:rPr>
        <w:t> </w:t>
      </w:r>
      <w:r>
        <w:rPr>
          <w:rStyle w:val="Nessuno"/>
          <w:rFonts w:ascii="Times Roman" w:hAnsi="Times Roman"/>
        </w:rPr>
        <w:t>desiderano utilizzare il tema dell</w:t>
      </w:r>
      <w:r>
        <w:rPr>
          <w:rStyle w:val="Nessuno"/>
          <w:rFonts w:ascii="Times Roman" w:hAnsi="Times Roman"/>
        </w:rPr>
        <w:t>’</w:t>
      </w:r>
      <w:r>
        <w:rPr>
          <w:rStyle w:val="Nessuno"/>
          <w:rFonts w:ascii="Times Roman" w:hAnsi="Times Roman"/>
        </w:rPr>
        <w:t>educazione sessuale e all</w:t>
      </w:r>
      <w:r>
        <w:rPr>
          <w:rStyle w:val="Nessuno"/>
          <w:rFonts w:ascii="Times Roman" w:hAnsi="Times Roman"/>
        </w:rPr>
        <w:t>’</w:t>
      </w:r>
      <w:r>
        <w:rPr>
          <w:rStyle w:val="Nessuno"/>
          <w:rFonts w:ascii="Times Roman" w:hAnsi="Times Roman"/>
        </w:rPr>
        <w:t>affettivit</w:t>
      </w:r>
      <w:r>
        <w:rPr>
          <w:rStyle w:val="Nessuno"/>
          <w:rFonts w:ascii="Times Roman" w:hAnsi="Times Roman"/>
        </w:rPr>
        <w:t xml:space="preserve">à </w:t>
      </w:r>
      <w:r>
        <w:rPr>
          <w:rStyle w:val="Nessuno"/>
          <w:rFonts w:ascii="Times Roman" w:hAnsi="Times Roman"/>
        </w:rPr>
        <w:t>come argomento di approfondimento, discussione e dibattito durante le giornate speciali in cui sono concesse attivit</w:t>
      </w:r>
      <w:r>
        <w:rPr>
          <w:rStyle w:val="Nessuno"/>
          <w:rFonts w:ascii="Times Roman" w:hAnsi="Times Roman"/>
        </w:rPr>
        <w:t xml:space="preserve">à </w:t>
      </w:r>
      <w:r>
        <w:rPr>
          <w:rStyle w:val="Nessuno"/>
          <w:rFonts w:ascii="Times Roman" w:hAnsi="Times Roman"/>
        </w:rPr>
        <w:t xml:space="preserve">alternative rispetto alle canoniche lezioni, </w:t>
      </w:r>
      <w:r>
        <w:rPr>
          <w:rStyle w:val="Nessuno"/>
          <w:rFonts w:ascii="Times Roman" w:hAnsi="Times Roman"/>
        </w:rPr>
        <w:t> </w:t>
      </w:r>
      <w:r>
        <w:rPr>
          <w:rStyle w:val="Nessuno"/>
          <w:rFonts w:ascii="Times Roman" w:hAnsi="Times Roman"/>
        </w:rPr>
        <w:t>ovviamente tali attivit</w:t>
      </w:r>
      <w:r>
        <w:rPr>
          <w:rStyle w:val="Nessuno"/>
          <w:rFonts w:ascii="Times Roman" w:hAnsi="Times Roman"/>
        </w:rPr>
        <w:t xml:space="preserve">à </w:t>
      </w:r>
      <w:r>
        <w:rPr>
          <w:rStyle w:val="Nessuno"/>
          <w:rFonts w:ascii="Times Roman" w:hAnsi="Times Roman"/>
        </w:rPr>
        <w:t>saranno organizzate e supervisionate da noi rappresentanti di istituto in collaborazione con i docenti che si renderanno disponibili ed eventualmente con gli esperti che potranno essere</w:t>
      </w:r>
      <w:r>
        <w:rPr>
          <w:rStyle w:val="Nessuno"/>
          <w:rFonts w:ascii="Times Roman" w:hAnsi="Times Roman"/>
        </w:rPr>
        <w:t xml:space="preserve"> invitati.</w:t>
      </w:r>
    </w:p>
    <w:p w:rsidR="005234DA" w:rsidRDefault="00D36A52">
      <w:pPr>
        <w:pStyle w:val="DidefaultA"/>
        <w:spacing w:before="0" w:line="240" w:lineRule="auto"/>
        <w:ind w:left="720"/>
        <w:jc w:val="both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Roman" w:hAnsi="Times Roman"/>
        </w:rPr>
        <w:t xml:space="preserve">La proposta </w:t>
      </w:r>
      <w:r>
        <w:rPr>
          <w:rStyle w:val="Nessuno"/>
          <w:rFonts w:ascii="Times Roman" w:hAnsi="Times Roman"/>
        </w:rPr>
        <w:t xml:space="preserve">è </w:t>
      </w:r>
      <w:r>
        <w:rPr>
          <w:rStyle w:val="Nessuno"/>
          <w:rFonts w:ascii="Times Roman" w:hAnsi="Times Roman"/>
        </w:rPr>
        <w:t>a</w:t>
      </w:r>
      <w:r>
        <w:rPr>
          <w:rStyle w:val="Nessuno"/>
          <w:rFonts w:ascii="Times New Roman" w:hAnsi="Times New Roman"/>
          <w:shd w:val="clear" w:color="auto" w:fill="FFFFFF"/>
        </w:rPr>
        <w:t>pprovata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unanimit</w:t>
      </w:r>
      <w:r>
        <w:rPr>
          <w:rStyle w:val="Nessuno"/>
          <w:rFonts w:ascii="Times New Roman" w:hAnsi="Times New Roman"/>
          <w:shd w:val="clear" w:color="auto" w:fill="FFFFFF"/>
        </w:rPr>
        <w:t>à</w:t>
      </w:r>
      <w:r>
        <w:rPr>
          <w:rStyle w:val="Nessuno"/>
          <w:rFonts w:ascii="Times New Roman" w:hAnsi="Times New Roman"/>
          <w:shd w:val="clear" w:color="auto" w:fill="FFFFFF"/>
        </w:rPr>
        <w:t xml:space="preserve">, ferma restando la precisazione che il CDI ha solo il potere di approvare un invito al collegio docenti di valutare il tema, visto che la competenza didattica </w:t>
      </w:r>
      <w:r>
        <w:rPr>
          <w:rStyle w:val="Nessuno"/>
          <w:rFonts w:ascii="Times New Roman" w:hAnsi="Times New Roman"/>
          <w:shd w:val="clear" w:color="auto" w:fill="FFFFFF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</w:rPr>
        <w:t>del collegio docenti.</w:t>
      </w:r>
    </w:p>
    <w:p w:rsidR="005234DA" w:rsidRDefault="00D36A52">
      <w:pPr>
        <w:pStyle w:val="DidefaultA"/>
        <w:spacing w:before="0" w:line="240" w:lineRule="auto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4) Il Prof. Filomena chi</w:t>
      </w:r>
      <w:r>
        <w:rPr>
          <w:rStyle w:val="Nessuno"/>
          <w:rFonts w:ascii="Times New Roman" w:hAnsi="Times New Roman"/>
          <w:shd w:val="clear" w:color="auto" w:fill="FFFFFF"/>
        </w:rPr>
        <w:t>ede al Dirigente di aggiornare brevemente il CDI in merito alla situazione delle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che dovrebbero svolgersi al pomeriggio presso i locali della scuola (scuola di Arabo, Opera Don Dino, ecc.).</w:t>
      </w:r>
    </w:p>
    <w:p w:rsidR="005234DA" w:rsidRDefault="00D36A52">
      <w:pPr>
        <w:pStyle w:val="DidefaultA"/>
        <w:spacing w:before="0" w:line="240" w:lineRule="auto"/>
        <w:ind w:left="720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Il Ds riferisce che le tre attivit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sono riprese regolarm</w:t>
      </w:r>
      <w:r>
        <w:rPr>
          <w:rStyle w:val="Nessuno"/>
          <w:rFonts w:ascii="Times New Roman" w:hAnsi="Times New Roman"/>
          <w:shd w:val="clear" w:color="auto" w:fill="FFFFFF"/>
        </w:rPr>
        <w:t>ente con tempistiche diverse ma tutte gi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da met</w:t>
      </w:r>
      <w:r>
        <w:rPr>
          <w:rStyle w:val="Nessuno"/>
          <w:rFonts w:ascii="Times New Roman" w:hAnsi="Times New Roman"/>
          <w:shd w:val="clear" w:color="auto" w:fill="FFFFFF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</w:rPr>
        <w:t>gennaio dopo pausa natalizia e alcuni rallentamenti dovuti all</w:t>
      </w:r>
      <w:r>
        <w:rPr>
          <w:rStyle w:val="Nessuno"/>
          <w:rFonts w:ascii="Times New Roman" w:hAnsi="Times New Roman"/>
          <w:shd w:val="clear" w:color="auto" w:fill="FFFFFF"/>
        </w:rPr>
        <w:t>’</w:t>
      </w:r>
      <w:r>
        <w:rPr>
          <w:rStyle w:val="Nessuno"/>
          <w:rFonts w:ascii="Times New Roman" w:hAnsi="Times New Roman"/>
          <w:shd w:val="clear" w:color="auto" w:fill="FFFFFF"/>
        </w:rPr>
        <w:t>emergenza COVID</w:t>
      </w:r>
    </w:p>
    <w:p w:rsidR="005234DA" w:rsidRDefault="00D36A52">
      <w:pPr>
        <w:pStyle w:val="DidefaultA"/>
        <w:spacing w:before="0" w:line="240" w:lineRule="auto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>al termine delle varie ed eventuali il CDI si chiude alle ore 17.30</w:t>
      </w:r>
    </w:p>
    <w:p w:rsidR="005234DA" w:rsidRDefault="005234DA">
      <w:pPr>
        <w:pStyle w:val="DidefaultA"/>
        <w:spacing w:before="0" w:line="240" w:lineRule="auto"/>
        <w:jc w:val="right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5234DA" w:rsidRDefault="00D36A52">
      <w:pPr>
        <w:pStyle w:val="DidefaultA"/>
        <w:spacing w:before="0" w:line="240" w:lineRule="auto"/>
        <w:jc w:val="right"/>
        <w:rPr>
          <w:rStyle w:val="Nessuno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</w:rPr>
        <w:t xml:space="preserve">La </w:t>
      </w:r>
      <w:proofErr w:type="spellStart"/>
      <w:r>
        <w:rPr>
          <w:rStyle w:val="Nessuno"/>
          <w:rFonts w:ascii="Times New Roman" w:hAnsi="Times New Roman"/>
          <w:shd w:val="clear" w:color="auto" w:fill="FFFFFF"/>
        </w:rPr>
        <w:t>verbalizzatrice</w:t>
      </w:r>
      <w:proofErr w:type="spellEnd"/>
      <w:r>
        <w:rPr>
          <w:rStyle w:val="Nessuno"/>
          <w:rFonts w:ascii="Times New Roman" w:hAnsi="Times New Roman"/>
          <w:shd w:val="clear" w:color="auto" w:fill="FFFFFF"/>
        </w:rPr>
        <w:t xml:space="preserve"> </w:t>
      </w:r>
    </w:p>
    <w:p w:rsidR="005234DA" w:rsidRDefault="00D36A52">
      <w:pPr>
        <w:jc w:val="right"/>
      </w:pPr>
      <w:r>
        <w:rPr>
          <w:rStyle w:val="Nessuno"/>
          <w:rFonts w:ascii="Times New Roman" w:hAnsi="Times New Roman"/>
        </w:rPr>
        <w:t>Prof.ssa Daniela Priori</w:t>
      </w:r>
    </w:p>
    <w:sectPr w:rsidR="005234DA" w:rsidSect="005234DA">
      <w:headerReference w:type="default" r:id="rId7"/>
      <w:footerReference w:type="default" r:id="rId8"/>
      <w:pgSz w:w="11900" w:h="16840"/>
      <w:pgMar w:top="1418" w:right="851" w:bottom="1134" w:left="851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DA" w:rsidRDefault="005234DA" w:rsidP="005234DA">
      <w:r>
        <w:separator/>
      </w:r>
    </w:p>
  </w:endnote>
  <w:endnote w:type="continuationSeparator" w:id="1">
    <w:p w:rsidR="005234DA" w:rsidRDefault="005234DA" w:rsidP="0052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A" w:rsidRDefault="005234D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DA" w:rsidRDefault="005234DA" w:rsidP="005234DA">
      <w:r>
        <w:separator/>
      </w:r>
    </w:p>
  </w:footnote>
  <w:footnote w:type="continuationSeparator" w:id="1">
    <w:p w:rsidR="005234DA" w:rsidRDefault="005234DA" w:rsidP="0052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A" w:rsidRDefault="00D36A52">
    <w:pPr>
      <w:jc w:val="center"/>
    </w:pPr>
    <w:r>
      <w:rPr>
        <w:rStyle w:val="NessunoA"/>
      </w:rPr>
      <w:tab/>
    </w:r>
  </w:p>
  <w:p w:rsidR="005234DA" w:rsidRDefault="00D36A52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5234DA" w:rsidRDefault="00D36A52">
    <w:pPr>
      <w:jc w:val="center"/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</w:r>
    <w:r>
      <w:rPr>
        <w:sz w:val="22"/>
        <w:szCs w:val="22"/>
      </w:rPr>
      <w:t xml:space="preserve">47521 Cesena </w:t>
    </w:r>
    <w:r>
      <w:rPr>
        <w:sz w:val="22"/>
        <w:szCs w:val="22"/>
      </w:rPr>
      <w:br/>
    </w:r>
    <w:r>
      <w:rPr>
        <w:sz w:val="22"/>
        <w:szCs w:val="22"/>
      </w:rPr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FOIS01100L@istruzione.it</w:t>
      </w:r>
    </w:hyperlink>
  </w:p>
  <w:p w:rsidR="005234DA" w:rsidRDefault="005234DA">
    <w:pPr>
      <w:jc w:val="center"/>
    </w:pPr>
    <w:hyperlink r:id="rId2" w:history="1">
      <w:r w:rsidR="00D36A52">
        <w:rPr>
          <w:rStyle w:val="Hyperlink0"/>
          <w:rFonts w:eastAsia="Arial Unicode MS"/>
        </w:rPr>
        <w:t>FOIS01100L@pec.istruzione.it</w:t>
      </w:r>
    </w:hyperlink>
    <w:r w:rsidR="00D36A52">
      <w:rPr>
        <w:rStyle w:val="Nessuno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7ECA"/>
    <w:multiLevelType w:val="hybridMultilevel"/>
    <w:tmpl w:val="9B0A445C"/>
    <w:styleLink w:val="Stileimportato2"/>
    <w:lvl w:ilvl="0" w:tplc="09A6A1F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EE0A90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B134A4B4">
      <w:start w:val="1"/>
      <w:numFmt w:val="lowerRoman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1B980A60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77C8D63E">
      <w:start w:val="1"/>
      <w:numFmt w:val="lowerLetter"/>
      <w:lvlText w:val="%5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94FE5702">
      <w:start w:val="1"/>
      <w:numFmt w:val="lowerRoman"/>
      <w:lvlText w:val="%6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74FED302">
      <w:start w:val="1"/>
      <w:numFmt w:val="decimal"/>
      <w:lvlText w:val="%7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730AA012">
      <w:start w:val="1"/>
      <w:numFmt w:val="lowerLetter"/>
      <w:lvlText w:val="%8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4CFA8DDE">
      <w:start w:val="1"/>
      <w:numFmt w:val="lowerRoman"/>
      <w:lvlText w:val="%9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ED08F4"/>
    <w:multiLevelType w:val="hybridMultilevel"/>
    <w:tmpl w:val="6E6CC60E"/>
    <w:styleLink w:val="Stileimportato10"/>
    <w:lvl w:ilvl="0" w:tplc="B8D40B8A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C1CA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6C96C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0DBBA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C2E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00C7E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815E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EFE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0C43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698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4D60F3"/>
    <w:multiLevelType w:val="hybridMultilevel"/>
    <w:tmpl w:val="9B0A445C"/>
    <w:numStyleLink w:val="Stileimportato2"/>
  </w:abstractNum>
  <w:abstractNum w:abstractNumId="3">
    <w:nsid w:val="300F7184"/>
    <w:multiLevelType w:val="hybridMultilevel"/>
    <w:tmpl w:val="40D81CEE"/>
    <w:styleLink w:val="Stileimportato1"/>
    <w:lvl w:ilvl="0" w:tplc="3E48C59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DCC51A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900AA90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140A6C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44E2F6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FC68D84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C4516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074A386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626D32E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3ECC5B14"/>
    <w:multiLevelType w:val="hybridMultilevel"/>
    <w:tmpl w:val="B6429BD8"/>
    <w:styleLink w:val="Stileimportato20"/>
    <w:lvl w:ilvl="0" w:tplc="54D26A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6EA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626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F4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E0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211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4A2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A78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A3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1A5717"/>
    <w:multiLevelType w:val="hybridMultilevel"/>
    <w:tmpl w:val="EA30B6A4"/>
    <w:lvl w:ilvl="0" w:tplc="99A24DFA">
      <w:start w:val="64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57C94"/>
    <w:multiLevelType w:val="hybridMultilevel"/>
    <w:tmpl w:val="B6429BD8"/>
    <w:numStyleLink w:val="Stileimportato20"/>
  </w:abstractNum>
  <w:abstractNum w:abstractNumId="7">
    <w:nsid w:val="5C6E282A"/>
    <w:multiLevelType w:val="hybridMultilevel"/>
    <w:tmpl w:val="40D81CEE"/>
    <w:numStyleLink w:val="Stileimportato1"/>
  </w:abstractNum>
  <w:abstractNum w:abstractNumId="8">
    <w:nsid w:val="6F4B55DE"/>
    <w:multiLevelType w:val="hybridMultilevel"/>
    <w:tmpl w:val="8474F7AE"/>
    <w:lvl w:ilvl="0" w:tplc="28BABA6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E09CF"/>
    <w:multiLevelType w:val="hybridMultilevel"/>
    <w:tmpl w:val="6E6CC60E"/>
    <w:numStyleLink w:val="Stileimportato10"/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1"/>
  </w:num>
  <w:num w:numId="7">
    <w:abstractNumId w:val="9"/>
  </w:num>
  <w:num w:numId="8">
    <w:abstractNumId w:val="7"/>
    <w:lvlOverride w:ilvl="0">
      <w:startOverride w:val="8"/>
    </w:lvlOverride>
  </w:num>
  <w:num w:numId="9">
    <w:abstractNumId w:val="4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4DA"/>
    <w:rsid w:val="005234DA"/>
    <w:rsid w:val="00D3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34DA"/>
    <w:pPr>
      <w:widowControl w:val="0"/>
      <w:suppressAutoHyphens/>
    </w:pPr>
    <w:rPr>
      <w:rFonts w:ascii="Calibri" w:hAnsi="Calibri" w:cs="Arial Unicode MS"/>
      <w:color w:val="000000"/>
      <w:kern w:val="2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34DA"/>
    <w:rPr>
      <w:u w:val="single"/>
    </w:rPr>
  </w:style>
  <w:style w:type="table" w:customStyle="1" w:styleId="TableNormal">
    <w:name w:val="Table Normal"/>
    <w:rsid w:val="00523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5234DA"/>
  </w:style>
  <w:style w:type="character" w:customStyle="1" w:styleId="Nessuno">
    <w:name w:val="Nessuno"/>
    <w:rsid w:val="005234DA"/>
  </w:style>
  <w:style w:type="character" w:customStyle="1" w:styleId="Hyperlink0">
    <w:name w:val="Hyperlink.0"/>
    <w:basedOn w:val="Nessuno"/>
    <w:rsid w:val="005234DA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customStyle="1" w:styleId="Intestazioneepidipagina">
    <w:name w:val="Intestazione e piè di pagina"/>
    <w:rsid w:val="005234D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5234DA"/>
    <w:pPr>
      <w:numPr>
        <w:numId w:val="1"/>
      </w:numPr>
    </w:pPr>
  </w:style>
  <w:style w:type="numbering" w:customStyle="1" w:styleId="Stileimportato2">
    <w:name w:val="Stile importato 2"/>
    <w:rsid w:val="005234DA"/>
    <w:pPr>
      <w:numPr>
        <w:numId w:val="3"/>
      </w:numPr>
    </w:pPr>
  </w:style>
  <w:style w:type="paragraph" w:styleId="Paragrafoelenco">
    <w:name w:val="List Paragraph"/>
    <w:uiPriority w:val="34"/>
    <w:qFormat/>
    <w:rsid w:val="005234DA"/>
    <w:pPr>
      <w:widowControl w:val="0"/>
      <w:suppressAutoHyphens/>
      <w:ind w:left="720"/>
    </w:pPr>
    <w:rPr>
      <w:rFonts w:ascii="Calibri" w:hAnsi="Calibri" w:cs="Arial Unicode MS"/>
      <w:color w:val="000000"/>
      <w:kern w:val="2"/>
      <w:sz w:val="24"/>
      <w:szCs w:val="24"/>
      <w:u w:color="000000"/>
      <w:shd w:val="nil"/>
    </w:rPr>
  </w:style>
  <w:style w:type="numbering" w:customStyle="1" w:styleId="Stileimportato10">
    <w:name w:val="Stile importato 1.0"/>
    <w:rsid w:val="005234DA"/>
    <w:pPr>
      <w:numPr>
        <w:numId w:val="6"/>
      </w:numPr>
    </w:pPr>
  </w:style>
  <w:style w:type="paragraph" w:customStyle="1" w:styleId="DidefaultA">
    <w:name w:val="Di default A"/>
    <w:rsid w:val="005234DA"/>
    <w:pPr>
      <w:widowControl w:val="0"/>
      <w:suppressAutoHyphens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Stileimportato20">
    <w:name w:val="Stile importato 2.0"/>
    <w:rsid w:val="005234DA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100L@pec.istruzione.it" TargetMode="External"/><Relationship Id="rId1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4649</Words>
  <Characters>26501</Characters>
  <Application>Microsoft Office Word</Application>
  <DocSecurity>0</DocSecurity>
  <Lines>220</Lines>
  <Paragraphs>62</Paragraphs>
  <ScaleCrop>false</ScaleCrop>
  <Company/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2</cp:revision>
  <dcterms:created xsi:type="dcterms:W3CDTF">2022-03-04T12:01:00Z</dcterms:created>
  <dcterms:modified xsi:type="dcterms:W3CDTF">2022-03-04T12:03:00Z</dcterms:modified>
</cp:coreProperties>
</file>