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4" w:rsidRDefault="00712DD6">
      <w:pPr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5B24B5">
        <w:rPr>
          <w:sz w:val="22"/>
          <w:szCs w:val="22"/>
        </w:rPr>
        <w:t>23-22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Cesena, </w:t>
      </w:r>
      <w:r w:rsidR="005B24B5">
        <w:rPr>
          <w:sz w:val="22"/>
          <w:szCs w:val="22"/>
        </w:rPr>
        <w:t>29</w:t>
      </w:r>
      <w:r>
        <w:rPr>
          <w:sz w:val="22"/>
          <w:szCs w:val="22"/>
        </w:rPr>
        <w:t>/</w:t>
      </w:r>
      <w:r w:rsidR="005B24B5">
        <w:rPr>
          <w:sz w:val="22"/>
          <w:szCs w:val="22"/>
        </w:rPr>
        <w:t>9/22</w:t>
      </w:r>
    </w:p>
    <w:p w:rsidR="00EB4F24" w:rsidRDefault="00712DD6">
      <w:pPr>
        <w:ind w:left="42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Ai docenti</w:t>
      </w:r>
    </w:p>
    <w:p w:rsidR="00EB4F24" w:rsidRDefault="00712DD6">
      <w:pPr>
        <w:ind w:left="42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agli alunni e alle famiglie</w:t>
      </w:r>
      <w:r>
        <w:tab/>
      </w:r>
      <w:r>
        <w:tab/>
      </w:r>
    </w:p>
    <w:p w:rsidR="00EB4F24" w:rsidRDefault="00712DD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 modalità di ricevimento famiglie</w:t>
      </w:r>
    </w:p>
    <w:p w:rsidR="00EB4F24" w:rsidRDefault="00712DD6">
      <w:pPr>
        <w:jc w:val="both"/>
        <w:rPr>
          <w:sz w:val="22"/>
          <w:szCs w:val="22"/>
        </w:rPr>
      </w:pPr>
      <w:r>
        <w:rPr>
          <w:sz w:val="22"/>
          <w:szCs w:val="22"/>
        </w:rPr>
        <w:t>Si trasmette il calendario delle settimane di ricevimento mattutino per le famiglie.</w:t>
      </w:r>
    </w:p>
    <w:p w:rsidR="00EB4F24" w:rsidRDefault="00712DD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ottobre: </w:t>
      </w:r>
      <w:r>
        <w:rPr>
          <w:sz w:val="22"/>
          <w:szCs w:val="22"/>
        </w:rPr>
        <w:t xml:space="preserve">settimana dal </w:t>
      </w:r>
      <w:r w:rsidR="005B24B5">
        <w:rPr>
          <w:sz w:val="22"/>
          <w:szCs w:val="22"/>
        </w:rPr>
        <w:t>17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22</w:t>
      </w: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novembre</w:t>
      </w:r>
      <w:r>
        <w:rPr>
          <w:sz w:val="22"/>
          <w:szCs w:val="22"/>
        </w:rPr>
        <w:t xml:space="preserve">: settimana dal </w:t>
      </w:r>
      <w:r w:rsidR="005B24B5">
        <w:rPr>
          <w:sz w:val="22"/>
          <w:szCs w:val="22"/>
        </w:rPr>
        <w:t>7</w:t>
      </w:r>
      <w:r>
        <w:rPr>
          <w:sz w:val="22"/>
          <w:szCs w:val="22"/>
        </w:rPr>
        <w:t xml:space="preserve">al </w:t>
      </w:r>
      <w:r w:rsidR="005B24B5">
        <w:rPr>
          <w:sz w:val="22"/>
          <w:szCs w:val="22"/>
        </w:rPr>
        <w:t>12</w:t>
      </w:r>
      <w:r>
        <w:rPr>
          <w:sz w:val="22"/>
          <w:szCs w:val="22"/>
        </w:rPr>
        <w:t xml:space="preserve">; </w:t>
      </w:r>
      <w:r w:rsidR="005B24B5">
        <w:rPr>
          <w:sz w:val="22"/>
          <w:szCs w:val="22"/>
        </w:rPr>
        <w:t>udienze dal 21 in avanti</w:t>
      </w:r>
      <w:r>
        <w:rPr>
          <w:sz w:val="22"/>
          <w:szCs w:val="22"/>
        </w:rPr>
        <w:t xml:space="preserve"> </w:t>
      </w: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dicembre: </w:t>
      </w:r>
      <w:r>
        <w:rPr>
          <w:sz w:val="22"/>
          <w:szCs w:val="22"/>
        </w:rPr>
        <w:t xml:space="preserve">settimana dal </w:t>
      </w:r>
      <w:r w:rsidR="005B24B5">
        <w:rPr>
          <w:sz w:val="22"/>
          <w:szCs w:val="22"/>
        </w:rPr>
        <w:t>5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10; settimana dal 12 al 17</w:t>
      </w: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gennaio</w:t>
      </w:r>
      <w:r>
        <w:rPr>
          <w:sz w:val="22"/>
          <w:szCs w:val="22"/>
        </w:rPr>
        <w:t xml:space="preserve">: settimana dal </w:t>
      </w:r>
      <w:r w:rsidR="005B24B5">
        <w:rPr>
          <w:sz w:val="22"/>
          <w:szCs w:val="22"/>
        </w:rPr>
        <w:t>16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21</w:t>
      </w:r>
      <w:r>
        <w:rPr>
          <w:sz w:val="22"/>
          <w:szCs w:val="22"/>
        </w:rPr>
        <w:t>;</w:t>
      </w: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febbraio</w:t>
      </w:r>
      <w:r>
        <w:rPr>
          <w:sz w:val="22"/>
          <w:szCs w:val="22"/>
        </w:rPr>
        <w:t>: settimana dal</w:t>
      </w:r>
      <w:r w:rsidR="005B24B5">
        <w:rPr>
          <w:sz w:val="22"/>
          <w:szCs w:val="22"/>
        </w:rPr>
        <w:t xml:space="preserve"> 6 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11</w:t>
      </w:r>
      <w:r>
        <w:rPr>
          <w:sz w:val="22"/>
          <w:szCs w:val="22"/>
        </w:rPr>
        <w:t xml:space="preserve">; settimana dal </w:t>
      </w:r>
      <w:r w:rsidR="005B24B5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25</w:t>
      </w:r>
      <w:r>
        <w:rPr>
          <w:sz w:val="22"/>
          <w:szCs w:val="22"/>
        </w:rPr>
        <w:t>;</w:t>
      </w:r>
    </w:p>
    <w:p w:rsidR="005B24B5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marzo</w:t>
      </w:r>
      <w:r>
        <w:rPr>
          <w:sz w:val="22"/>
          <w:szCs w:val="22"/>
        </w:rPr>
        <w:t xml:space="preserve">: </w:t>
      </w:r>
      <w:r w:rsidR="005B24B5">
        <w:rPr>
          <w:sz w:val="22"/>
          <w:szCs w:val="22"/>
        </w:rPr>
        <w:t>settimana dal 6  al 11; settimana dal 20  al 25</w:t>
      </w: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aprile</w:t>
      </w:r>
      <w:r>
        <w:rPr>
          <w:sz w:val="22"/>
          <w:szCs w:val="22"/>
        </w:rPr>
        <w:t>: udienze generali</w:t>
      </w:r>
      <w:r w:rsidR="005B24B5">
        <w:rPr>
          <w:sz w:val="22"/>
          <w:szCs w:val="22"/>
        </w:rPr>
        <w:t xml:space="preserve"> dal 17 in avanti</w:t>
      </w: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maggio</w:t>
      </w:r>
      <w:r w:rsidR="005B24B5">
        <w:rPr>
          <w:sz w:val="22"/>
          <w:szCs w:val="22"/>
        </w:rPr>
        <w:t>: settimana dal 8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13</w:t>
      </w:r>
      <w:r>
        <w:rPr>
          <w:sz w:val="22"/>
          <w:szCs w:val="22"/>
        </w:rPr>
        <w:t xml:space="preserve">; settimana dal </w:t>
      </w:r>
      <w:r w:rsidR="005B24B5">
        <w:rPr>
          <w:sz w:val="22"/>
          <w:szCs w:val="22"/>
        </w:rPr>
        <w:t>22</w:t>
      </w:r>
      <w:r>
        <w:rPr>
          <w:sz w:val="22"/>
          <w:szCs w:val="22"/>
        </w:rPr>
        <w:t xml:space="preserve"> al </w:t>
      </w:r>
      <w:r w:rsidR="005B24B5">
        <w:rPr>
          <w:sz w:val="22"/>
          <w:szCs w:val="22"/>
        </w:rPr>
        <w:t>27</w:t>
      </w:r>
      <w:r>
        <w:rPr>
          <w:sz w:val="22"/>
          <w:szCs w:val="22"/>
        </w:rPr>
        <w:t>;</w:t>
      </w:r>
    </w:p>
    <w:p w:rsidR="00EB4F24" w:rsidRDefault="00EB4F24">
      <w:pPr>
        <w:jc w:val="both"/>
        <w:rPr>
          <w:b/>
          <w:bCs/>
          <w:sz w:val="22"/>
          <w:szCs w:val="22"/>
        </w:rPr>
      </w:pPr>
    </w:p>
    <w:p w:rsidR="00EB4F24" w:rsidRDefault="00712DD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 la presente si chiede ai docenti di entrambi i plessi di compilare il </w:t>
      </w:r>
      <w:proofErr w:type="spellStart"/>
      <w:r>
        <w:rPr>
          <w:b/>
          <w:bCs/>
          <w:sz w:val="22"/>
          <w:szCs w:val="22"/>
        </w:rPr>
        <w:t>form</w:t>
      </w:r>
      <w:proofErr w:type="spellEnd"/>
      <w:r>
        <w:rPr>
          <w:b/>
          <w:bCs/>
          <w:sz w:val="22"/>
          <w:szCs w:val="22"/>
        </w:rPr>
        <w:t xml:space="preserve"> che invierà la vicepresidenza</w:t>
      </w:r>
      <w:r w:rsidR="00FE69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 di  aprire la finestra di prenotazione del registro elettronico (nella giornata e orario scelto) entro il giorno 10</w:t>
      </w:r>
      <w:r w:rsidR="00A13974">
        <w:rPr>
          <w:b/>
          <w:bCs/>
          <w:sz w:val="22"/>
          <w:szCs w:val="22"/>
        </w:rPr>
        <w:t xml:space="preserve">/10 </w:t>
      </w:r>
      <w:r>
        <w:rPr>
          <w:b/>
          <w:bCs/>
          <w:sz w:val="22"/>
          <w:szCs w:val="22"/>
        </w:rPr>
        <w:t xml:space="preserve"> per consentire le prenotazioni delle famiglie dalla settimana del 17/10, </w:t>
      </w:r>
      <w:proofErr w:type="spellStart"/>
      <w:r>
        <w:rPr>
          <w:b/>
          <w:bCs/>
          <w:sz w:val="22"/>
          <w:szCs w:val="22"/>
        </w:rPr>
        <w:t>max</w:t>
      </w:r>
      <w:proofErr w:type="spellEnd"/>
      <w:r w:rsidR="005B24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5 genitori a ora</w:t>
      </w:r>
      <w:r w:rsidR="00FE6902">
        <w:rPr>
          <w:sz w:val="22"/>
          <w:szCs w:val="22"/>
        </w:rPr>
        <w:t>.</w:t>
      </w:r>
    </w:p>
    <w:p w:rsidR="00FE6902" w:rsidRDefault="00FE6902">
      <w:pPr>
        <w:jc w:val="both"/>
        <w:rPr>
          <w:sz w:val="22"/>
          <w:szCs w:val="22"/>
        </w:rPr>
      </w:pPr>
      <w:r>
        <w:rPr>
          <w:sz w:val="22"/>
          <w:szCs w:val="22"/>
        </w:rPr>
        <w:t>Si suggerisce di definire il proprio giorno e orario di ricevimento a partire da lunedì 3/10 quando sarà pubblicato l’orario definitivo per entrambi i plessi.</w:t>
      </w:r>
    </w:p>
    <w:p w:rsidR="00EB4F24" w:rsidRDefault="00EB4F24">
      <w:pPr>
        <w:jc w:val="both"/>
        <w:rPr>
          <w:sz w:val="22"/>
          <w:szCs w:val="22"/>
        </w:rPr>
      </w:pPr>
    </w:p>
    <w:p w:rsidR="00EB4F24" w:rsidRDefault="00712DD6">
      <w:pPr>
        <w:jc w:val="both"/>
        <w:rPr>
          <w:sz w:val="22"/>
          <w:szCs w:val="22"/>
        </w:rPr>
      </w:pPr>
      <w:r>
        <w:rPr>
          <w:sz w:val="22"/>
          <w:szCs w:val="22"/>
        </w:rPr>
        <w:t>Si informano inoltre le famiglie che nella seduta</w:t>
      </w:r>
      <w:r w:rsidR="005B24B5">
        <w:rPr>
          <w:sz w:val="22"/>
          <w:szCs w:val="22"/>
        </w:rPr>
        <w:t xml:space="preserve"> del collegio docenti del 1/9/22</w:t>
      </w:r>
      <w:r>
        <w:rPr>
          <w:sz w:val="22"/>
          <w:szCs w:val="22"/>
        </w:rPr>
        <w:t xml:space="preserve"> è stato presentato il seguente calendario di udienze generali pomeridiane (seguirà convocazione specifica):</w:t>
      </w:r>
    </w:p>
    <w:p w:rsidR="005B24B5" w:rsidRDefault="005B24B5" w:rsidP="005B24B5">
      <w:pPr>
        <w:rPr>
          <w:b/>
        </w:rPr>
      </w:pPr>
    </w:p>
    <w:p w:rsidR="005B24B5" w:rsidRDefault="005B24B5" w:rsidP="005B24B5">
      <w:pPr>
        <w:rPr>
          <w:b/>
        </w:rPr>
      </w:pPr>
      <w:r>
        <w:rPr>
          <w:b/>
        </w:rPr>
        <w:t>Lunedì</w:t>
      </w:r>
      <w:r>
        <w:rPr>
          <w:b/>
        </w:rPr>
        <w:tab/>
        <w:t>21/11/2022</w:t>
      </w:r>
      <w:r>
        <w:rPr>
          <w:b/>
        </w:rPr>
        <w:tab/>
        <w:t xml:space="preserve"> </w:t>
      </w:r>
    </w:p>
    <w:p w:rsidR="005B24B5" w:rsidRDefault="005B24B5" w:rsidP="005B24B5">
      <w:pPr>
        <w:rPr>
          <w:b/>
        </w:rPr>
      </w:pPr>
      <w:r>
        <w:rPr>
          <w:b/>
        </w:rPr>
        <w:t>Martedì</w:t>
      </w:r>
      <w:r>
        <w:rPr>
          <w:b/>
        </w:rPr>
        <w:tab/>
        <w:t>22/11/2022</w:t>
      </w:r>
      <w:r>
        <w:rPr>
          <w:b/>
        </w:rPr>
        <w:tab/>
      </w:r>
      <w:r>
        <w:rPr>
          <w:b/>
        </w:rPr>
        <w:tab/>
      </w:r>
    </w:p>
    <w:p w:rsidR="005B24B5" w:rsidRDefault="005B24B5" w:rsidP="005B24B5">
      <w:pPr>
        <w:rPr>
          <w:b/>
        </w:rPr>
      </w:pPr>
      <w:r>
        <w:rPr>
          <w:b/>
        </w:rPr>
        <w:t>Mercoledì</w:t>
      </w:r>
      <w:r>
        <w:rPr>
          <w:b/>
        </w:rPr>
        <w:tab/>
        <w:t>23/11/2022</w:t>
      </w:r>
      <w:r>
        <w:rPr>
          <w:b/>
        </w:rPr>
        <w:tab/>
      </w:r>
    </w:p>
    <w:p w:rsidR="005B24B5" w:rsidRDefault="005B24B5" w:rsidP="005B24B5">
      <w:pPr>
        <w:rPr>
          <w:b/>
        </w:rPr>
      </w:pPr>
      <w:r>
        <w:rPr>
          <w:b/>
        </w:rPr>
        <w:t>Giovedì</w:t>
      </w:r>
      <w:r>
        <w:rPr>
          <w:b/>
        </w:rPr>
        <w:tab/>
        <w:t>24/11/2022</w:t>
      </w:r>
      <w:r>
        <w:rPr>
          <w:b/>
        </w:rPr>
        <w:tab/>
      </w:r>
    </w:p>
    <w:p w:rsidR="005B24B5" w:rsidRDefault="005B24B5" w:rsidP="005B24B5">
      <w:pPr>
        <w:rPr>
          <w:b/>
          <w:bCs/>
        </w:rPr>
      </w:pPr>
      <w:r>
        <w:rPr>
          <w:b/>
        </w:rPr>
        <w:t>Venerdì</w:t>
      </w:r>
      <w:r>
        <w:rPr>
          <w:b/>
        </w:rPr>
        <w:tab/>
        <w:t>25/11/2022</w:t>
      </w:r>
      <w:r>
        <w:rPr>
          <w:b/>
        </w:rPr>
        <w:tab/>
      </w:r>
    </w:p>
    <w:p w:rsidR="005B24B5" w:rsidRDefault="005B24B5" w:rsidP="005B24B5">
      <w:pPr>
        <w:rPr>
          <w:b/>
          <w:bCs/>
        </w:rPr>
      </w:pPr>
    </w:p>
    <w:p w:rsidR="005B24B5" w:rsidRPr="005B24B5" w:rsidRDefault="005B24B5" w:rsidP="005B24B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/>
        </w:rPr>
      </w:pPr>
      <w:r w:rsidRPr="005B24B5">
        <w:rPr>
          <w:b/>
        </w:rPr>
        <w:t xml:space="preserve">Lunedì </w:t>
      </w:r>
      <w:r w:rsidRPr="005B24B5">
        <w:rPr>
          <w:b/>
        </w:rPr>
        <w:tab/>
        <w:t xml:space="preserve">17/04/2022 </w:t>
      </w:r>
    </w:p>
    <w:p w:rsidR="005B24B5" w:rsidRPr="005B24B5" w:rsidRDefault="005B24B5" w:rsidP="005B24B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/>
        </w:rPr>
      </w:pPr>
      <w:r w:rsidRPr="005B24B5">
        <w:rPr>
          <w:b/>
        </w:rPr>
        <w:t xml:space="preserve">Martedì </w:t>
      </w:r>
      <w:r w:rsidRPr="005B24B5">
        <w:rPr>
          <w:b/>
        </w:rPr>
        <w:tab/>
        <w:t xml:space="preserve">18/04/2022 </w:t>
      </w:r>
    </w:p>
    <w:p w:rsidR="005B24B5" w:rsidRPr="005B24B5" w:rsidRDefault="005B24B5" w:rsidP="005B24B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/>
        </w:rPr>
      </w:pPr>
      <w:r w:rsidRPr="005B24B5">
        <w:rPr>
          <w:b/>
        </w:rPr>
        <w:t xml:space="preserve">Mercoledì </w:t>
      </w:r>
      <w:r w:rsidRPr="005B24B5">
        <w:rPr>
          <w:b/>
        </w:rPr>
        <w:tab/>
        <w:t xml:space="preserve">19/04/2022 </w:t>
      </w:r>
    </w:p>
    <w:p w:rsidR="005B24B5" w:rsidRPr="005B24B5" w:rsidRDefault="005B24B5" w:rsidP="005B24B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/>
        </w:rPr>
      </w:pPr>
      <w:r w:rsidRPr="005B24B5">
        <w:rPr>
          <w:b/>
        </w:rPr>
        <w:t xml:space="preserve">Giovedì </w:t>
      </w:r>
      <w:r w:rsidRPr="005B24B5">
        <w:rPr>
          <w:b/>
        </w:rPr>
        <w:tab/>
        <w:t xml:space="preserve">20/04/2022 </w:t>
      </w:r>
    </w:p>
    <w:p w:rsidR="005B24B5" w:rsidRPr="005B24B5" w:rsidRDefault="005B24B5" w:rsidP="005B24B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/>
        </w:rPr>
      </w:pPr>
      <w:r w:rsidRPr="005B24B5">
        <w:rPr>
          <w:b/>
        </w:rPr>
        <w:t xml:space="preserve">Venerdì </w:t>
      </w:r>
      <w:r w:rsidRPr="005B24B5">
        <w:rPr>
          <w:b/>
        </w:rPr>
        <w:tab/>
        <w:t xml:space="preserve">21/04/2022 </w:t>
      </w:r>
    </w:p>
    <w:p w:rsidR="00EB4F24" w:rsidRDefault="00EB4F24">
      <w:pPr>
        <w:jc w:val="both"/>
        <w:rPr>
          <w:sz w:val="22"/>
          <w:szCs w:val="22"/>
        </w:rPr>
      </w:pPr>
    </w:p>
    <w:p w:rsidR="00EB4F24" w:rsidRDefault="00712D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informano le famiglie che è possibile utilizzare il servizio di prenotazione del colloquio mattutino attraverso il registro elettronico. Chi non prenota il colloquio </w:t>
      </w:r>
      <w:r w:rsidR="005B24B5">
        <w:rPr>
          <w:sz w:val="22"/>
          <w:szCs w:val="22"/>
        </w:rPr>
        <w:t>rischia di non poter ottenere il colloquio per coda dei già prenotati</w:t>
      </w:r>
      <w:r>
        <w:rPr>
          <w:sz w:val="22"/>
          <w:szCs w:val="22"/>
        </w:rPr>
        <w:t>. Per istruzioni su come prenotarsi tramite registro, gli alunni potranno chiedere ai relativi docenti e poi illustrare alle famiglie</w:t>
      </w:r>
    </w:p>
    <w:p w:rsidR="00EB4F24" w:rsidRDefault="00EB4F24">
      <w:pPr>
        <w:jc w:val="both"/>
        <w:rPr>
          <w:sz w:val="22"/>
          <w:szCs w:val="22"/>
        </w:rPr>
      </w:pPr>
    </w:p>
    <w:p w:rsidR="00EB4F24" w:rsidRDefault="00712DD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 invitano le famiglie a consultare l’orario di ricevimento dei singoli docenti sul sito, nella sezione “Orario e Cal</w:t>
      </w:r>
      <w:r w:rsidR="005B24B5">
        <w:rPr>
          <w:sz w:val="22"/>
          <w:szCs w:val="22"/>
        </w:rPr>
        <w:t xml:space="preserve">endario”, </w:t>
      </w:r>
      <w:r w:rsidR="005B24B5" w:rsidRPr="00712DD6">
        <w:rPr>
          <w:b/>
          <w:sz w:val="22"/>
          <w:szCs w:val="22"/>
        </w:rPr>
        <w:t xml:space="preserve">dove entro il 15/10 </w:t>
      </w:r>
      <w:r w:rsidRPr="00712DD6">
        <w:rPr>
          <w:b/>
          <w:sz w:val="22"/>
          <w:szCs w:val="22"/>
        </w:rPr>
        <w:t xml:space="preserve"> sarà visualizzabile l’orario di ricevimento</w:t>
      </w:r>
      <w:r>
        <w:rPr>
          <w:sz w:val="22"/>
          <w:szCs w:val="22"/>
        </w:rPr>
        <w:t xml:space="preserve"> di tutti i docenti dei due plessi</w:t>
      </w:r>
    </w:p>
    <w:p w:rsidR="00EB4F24" w:rsidRDefault="00EB4F24">
      <w:pPr>
        <w:jc w:val="both"/>
        <w:rPr>
          <w:sz w:val="22"/>
          <w:szCs w:val="22"/>
        </w:rPr>
      </w:pPr>
    </w:p>
    <w:p w:rsidR="00EB4F24" w:rsidRDefault="00712D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infine che il ricevimento famiglie è al momento possibile in presenza, oppure on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>, o telefonicamente in base a opzione scelta dal docente e/o concordata con la famiglia.</w:t>
      </w:r>
    </w:p>
    <w:p w:rsidR="00EB4F24" w:rsidRDefault="00EB4F24">
      <w:pPr>
        <w:jc w:val="both"/>
        <w:rPr>
          <w:sz w:val="22"/>
          <w:szCs w:val="22"/>
        </w:rPr>
      </w:pPr>
    </w:p>
    <w:p w:rsidR="00EB4F24" w:rsidRDefault="00712DD6">
      <w:pPr>
        <w:jc w:val="both"/>
        <w:rPr>
          <w:sz w:val="22"/>
          <w:szCs w:val="22"/>
        </w:rPr>
      </w:pPr>
      <w:r>
        <w:rPr>
          <w:sz w:val="22"/>
          <w:szCs w:val="22"/>
        </w:rPr>
        <w:t>Infine, le presenti opzioni di ricevimento genitori, e il calendario delle udienze, potrà subire modifiche o cancellazioni in base all’andamento dell’emergenza epidemiologica. Si prega pertanto di seguire le convocazioni specifiche tramite circolari</w:t>
      </w:r>
    </w:p>
    <w:p w:rsidR="00EB4F24" w:rsidRDefault="00EB4F24">
      <w:pPr>
        <w:jc w:val="both"/>
        <w:rPr>
          <w:sz w:val="22"/>
          <w:szCs w:val="22"/>
        </w:rPr>
      </w:pPr>
    </w:p>
    <w:p w:rsidR="00EB4F24" w:rsidRDefault="00EB4F24">
      <w:pPr>
        <w:jc w:val="both"/>
        <w:rPr>
          <w:sz w:val="22"/>
          <w:szCs w:val="22"/>
        </w:rPr>
      </w:pPr>
    </w:p>
    <w:p w:rsidR="00EB4F24" w:rsidRDefault="00712DD6">
      <w:pPr>
        <w:jc w:val="right"/>
      </w:pPr>
      <w:r>
        <w:rPr>
          <w:sz w:val="22"/>
          <w:szCs w:val="22"/>
        </w:rPr>
        <w:t>IL DS</w:t>
      </w:r>
    </w:p>
    <w:sectPr w:rsidR="00EB4F24" w:rsidSect="00EB4F24">
      <w:headerReference w:type="default" r:id="rId7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24" w:rsidRDefault="00EB4F24" w:rsidP="00EB4F24">
      <w:r>
        <w:separator/>
      </w:r>
    </w:p>
  </w:endnote>
  <w:endnote w:type="continuationSeparator" w:id="1">
    <w:p w:rsidR="00EB4F24" w:rsidRDefault="00EB4F24" w:rsidP="00EB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24" w:rsidRDefault="00EB4F24" w:rsidP="00EB4F24">
      <w:r>
        <w:separator/>
      </w:r>
    </w:p>
  </w:footnote>
  <w:footnote w:type="continuationSeparator" w:id="1">
    <w:p w:rsidR="00EB4F24" w:rsidRDefault="00EB4F24" w:rsidP="00EB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24" w:rsidRDefault="00EB4F24">
    <w:pPr>
      <w:widowControl w:val="0"/>
      <w:jc w:val="center"/>
    </w:pPr>
  </w:p>
  <w:p w:rsidR="00EB4F24" w:rsidRDefault="00712DD6">
    <w:pPr>
      <w:jc w:val="center"/>
      <w:rPr>
        <w:rFonts w:ascii="Arial" w:hAnsi="Arial"/>
        <w:b/>
        <w:bCs/>
        <w:sz w:val="25"/>
        <w:szCs w:val="25"/>
      </w:rPr>
    </w:pPr>
    <w:r>
      <w:rPr>
        <w:rFonts w:ascii="Calibri" w:hAnsi="Calibri"/>
      </w:rPr>
      <w:tab/>
    </w:r>
  </w:p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5B24B5" w:rsidTr="00F050FC">
      <w:trPr>
        <w:trHeight w:val="2904"/>
      </w:trPr>
      <w:tc>
        <w:tcPr>
          <w:tcW w:w="3529" w:type="dxa"/>
          <w:vAlign w:val="center"/>
          <w:hideMark/>
        </w:tcPr>
        <w:p w:rsidR="005B24B5" w:rsidRDefault="005B24B5" w:rsidP="00F050FC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5B24B5" w:rsidRDefault="005B24B5" w:rsidP="00F050FC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5B24B5" w:rsidRDefault="005B24B5" w:rsidP="00F050FC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5B24B5" w:rsidRPr="0033528F" w:rsidRDefault="005B24B5" w:rsidP="00F050FC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5B24B5" w:rsidRDefault="005B24B5" w:rsidP="00F050FC">
          <w:pPr>
            <w:snapToGrid w:val="0"/>
            <w:jc w:val="center"/>
          </w:pPr>
        </w:p>
        <w:p w:rsidR="005B24B5" w:rsidRDefault="005B24B5" w:rsidP="00F050FC">
          <w:pPr>
            <w:jc w:val="center"/>
          </w:pPr>
        </w:p>
        <w:p w:rsidR="005B24B5" w:rsidRDefault="005B24B5" w:rsidP="00F050FC">
          <w:pPr>
            <w:jc w:val="center"/>
          </w:pPr>
        </w:p>
        <w:p w:rsidR="005B24B5" w:rsidRDefault="005B24B5" w:rsidP="00F050FC">
          <w:pPr>
            <w:jc w:val="center"/>
          </w:pPr>
          <w:r>
            <w:rPr>
              <w:rFonts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B4F24" w:rsidRDefault="00EB4F2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F24"/>
    <w:rsid w:val="00191C06"/>
    <w:rsid w:val="005B24B5"/>
    <w:rsid w:val="00712DD6"/>
    <w:rsid w:val="00A13974"/>
    <w:rsid w:val="00E329C0"/>
    <w:rsid w:val="00EB4F24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4F24"/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link w:val="Titolo2Carattere"/>
    <w:rsid w:val="005B24B5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4F24"/>
    <w:rPr>
      <w:u w:val="single"/>
    </w:rPr>
  </w:style>
  <w:style w:type="table" w:customStyle="1" w:styleId="TableNormal">
    <w:name w:val="Table Normal"/>
    <w:rsid w:val="00EB4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EB4F24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B4F24"/>
    <w:rPr>
      <w:rFonts w:ascii="Times New Roman" w:eastAsia="Times New Roman" w:hAnsi="Times New Roman" w:cs="Times New Roman"/>
      <w:shd w:val="nil"/>
      <w:lang w:val="it-IT"/>
    </w:rPr>
  </w:style>
  <w:style w:type="paragraph" w:customStyle="1" w:styleId="Intestazioneepidipagina">
    <w:name w:val="Intestazione e piè di pagina"/>
    <w:rsid w:val="00EB4F2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Didefault">
    <w:name w:val="Di default"/>
    <w:rsid w:val="00EB4F2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24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24B5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24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24B5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5B24B5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4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4B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2022-09-29T06:28:00Z</dcterms:created>
  <dcterms:modified xsi:type="dcterms:W3CDTF">2022-09-29T07:37:00Z</dcterms:modified>
</cp:coreProperties>
</file>