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29"/>
        <w:gridCol w:w="2956"/>
        <w:gridCol w:w="3325"/>
      </w:tblGrid>
      <w:tr>
        <w:tblPrEx>
          <w:shd w:val="clear" w:color="auto" w:fill="cadfff"/>
        </w:tblPrEx>
        <w:trPr>
          <w:trHeight w:val="2811" w:hRule="atLeast"/>
        </w:trPr>
        <w:tc>
          <w:tcPr>
            <w:tcW w:type="dxa" w:w="3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en-US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5"/>
                <w:szCs w:val="25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en-US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P.le Macrelli, 100 </w:t>
            </w: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47521 Cesena </w:t>
            </w: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Tel. +39 054722792 </w:t>
            </w: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Cod.fisc. 90076540401 - Cod.Mecc. FOIS01100L</w:t>
            </w: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"mailto:FOIS01100L@istruzione.it"</w:instrText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FOIS01100L@istruzione.it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FOIS01100L@pec.istruzione.it</w:t>
            </w:r>
          </w:p>
        </w:tc>
        <w:tc>
          <w:tcPr>
            <w:tcW w:type="dxa" w:w="3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Corpo"/>
        <w:widowControl w:val="0"/>
      </w:pPr>
    </w:p>
    <w:p>
      <w:pPr>
        <w:pStyle w:val="Corpo A"/>
        <w:spacing w:after="120" w:line="259" w:lineRule="auto"/>
        <w:rPr>
          <w:rFonts w:ascii="Times New Roman" w:cs="Times New Roman" w:hAnsi="Times New Roman" w:eastAsia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Circolare </w:t>
      </w:r>
      <w:r>
        <w:rPr>
          <w:rFonts w:ascii="Times New Roman" w:hAnsi="Times New Roman"/>
          <w:sz w:val="22"/>
          <w:szCs w:val="22"/>
          <w:rtl w:val="0"/>
          <w:lang w:val="it-IT"/>
        </w:rPr>
        <w:t>39</w:t>
      </w:r>
      <w:r>
        <w:rPr>
          <w:rFonts w:ascii="Times New Roman" w:hAnsi="Times New Roman"/>
          <w:sz w:val="22"/>
          <w:szCs w:val="22"/>
          <w:rtl w:val="0"/>
          <w:lang w:val="it-IT"/>
        </w:rPr>
        <w:t>/22</w:t>
      </w:r>
    </w:p>
    <w:p>
      <w:pPr>
        <w:pStyle w:val="Corpo A"/>
        <w:spacing w:line="259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Cesena, 22 ottobre 2022</w:t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  <w:rtl w:val="0"/>
          <w:lang w:val="es-ES_tradnl"/>
        </w:rPr>
        <w:t>Ai docenti delle ex classi terze Comandini</w:t>
        <w:tab/>
      </w:r>
    </w:p>
    <w:p>
      <w:pPr>
        <w:pStyle w:val="Corpo A"/>
        <w:spacing w:after="120" w:line="259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s-ES_tradnl"/>
        </w:rPr>
        <w:t>Oggetto: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 xml:space="preserve"> consigli di classe per la raccolta delle evidenze ai fini dell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ammissione all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 xml:space="preserve">esame di qualifica per le ex classi terze Comandini </w:t>
      </w:r>
    </w:p>
    <w:p>
      <w:pPr>
        <w:pStyle w:val="Corpo A"/>
        <w:spacing w:after="120" w:line="259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s-ES_tradnl"/>
        </w:rPr>
        <w:t xml:space="preserve">Si comunica che </w:t>
      </w:r>
      <w:r>
        <w:rPr>
          <w:rFonts w:ascii="Times New Roman" w:hAnsi="Times New Roman"/>
          <w:sz w:val="22"/>
          <w:szCs w:val="22"/>
          <w:u w:val="single"/>
          <w:rtl w:val="0"/>
          <w:lang w:val="es-ES_tradnl"/>
        </w:rPr>
        <w:t>venerd</w:t>
      </w:r>
      <w:r>
        <w:rPr>
          <w:rFonts w:ascii="Times New Roman" w:hAnsi="Times New Roman" w:hint="default"/>
          <w:sz w:val="22"/>
          <w:szCs w:val="22"/>
          <w:u w:val="single"/>
          <w:rtl w:val="0"/>
          <w:lang w:val="es-ES_tradnl"/>
        </w:rPr>
        <w:t xml:space="preserve">ì </w:t>
      </w:r>
      <w:r>
        <w:rPr>
          <w:rFonts w:ascii="Times New Roman" w:hAnsi="Times New Roman"/>
          <w:sz w:val="22"/>
          <w:szCs w:val="22"/>
          <w:u w:val="single"/>
          <w:rtl w:val="0"/>
          <w:lang w:val="es-ES_tradnl"/>
        </w:rPr>
        <w:t>4 novembre 2022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 xml:space="preserve"> si svolgeranno in presernza i consigli di classe in oggetto secondo la seguente scansione oraria:</w:t>
      </w:r>
    </w:p>
    <w:tbl>
      <w:tblPr>
        <w:tblW w:w="9394" w:type="dxa"/>
        <w:jc w:val="center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77"/>
        <w:gridCol w:w="2126"/>
        <w:gridCol w:w="2126"/>
        <w:gridCol w:w="2165"/>
      </w:tblGrid>
      <w:tr>
        <w:tblPrEx>
          <w:shd w:val="clear" w:color="auto" w:fill="cadfff"/>
        </w:tblPrEx>
        <w:trPr>
          <w:trHeight w:val="2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ORARIO</w:t>
            </w:r>
          </w:p>
        </w:tc>
        <w:tc>
          <w:tcPr>
            <w:tcW w:type="dxa" w:w="6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CLASSI  (Aule)</w:t>
            </w:r>
          </w:p>
        </w:tc>
      </w:tr>
      <w:tr>
        <w:tblPrEx>
          <w:shd w:val="clear" w:color="auto" w:fill="cadfff"/>
        </w:tblPrEx>
        <w:trPr>
          <w:trHeight w:val="2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14,30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15,30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3A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(Aula 1)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(Aula 4)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3M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(Aula 5)</w:t>
            </w:r>
          </w:p>
        </w:tc>
      </w:tr>
      <w:tr>
        <w:tblPrEx>
          <w:shd w:val="clear" w:color="auto" w:fill="cadfff"/>
        </w:tblPrEx>
        <w:trPr>
          <w:trHeight w:val="2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15,30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16,30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3B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(Aula 2)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3G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(Aula 3)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  <w:ind w:left="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- - - </w:t>
            </w:r>
          </w:p>
        </w:tc>
      </w:tr>
    </w:tbl>
    <w:p>
      <w:pPr>
        <w:pStyle w:val="Corpo A"/>
        <w:widowControl w:val="0"/>
        <w:spacing w:after="120"/>
        <w:ind w:left="817" w:hanging="817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rpo A"/>
        <w:spacing w:before="120" w:after="120" w:line="259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s-ES_tradnl"/>
        </w:rPr>
        <w:t>La raccolta delle evidenze riguarder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Italiano, Matematica e le discipline di indirizzo. I docenti dell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anno scorso dovranno compilare (entro il 3/11) i moduli di raccolta evidenze condivisi su google drive. Durante il consiglio verr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controllata la corretta compilazione del dossier riassuntivo e redatto il documento finale di ammissione all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esame di qualifica (fac-simile in condivisione). Entrambe i documenti andranno quindi inviati all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EPV designato entro il luned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ì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successivo 7 novembre mentre una copia cartacea (sempre di entrambi i documenti) andr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depositata in segreteria alunni. Nel caso in cui un docente dell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anno scorso non dovesse essere pi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ù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in organico, il sostituto (vedi schema seguente) compiler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 xml:space="preserve">le evidenze mettendo la data dello scrutinio di ammissione alla classe quarta. Riassumendo la formazione dei consigli di classe 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la seguente:</w:t>
      </w: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18"/>
        <w:gridCol w:w="1667"/>
        <w:gridCol w:w="1701"/>
        <w:gridCol w:w="1701"/>
        <w:gridCol w:w="1701"/>
        <w:gridCol w:w="1701"/>
      </w:tblGrid>
      <w:tr>
        <w:tblPrEx>
          <w:shd w:val="clear" w:color="auto" w:fill="cadfff"/>
        </w:tblPrEx>
        <w:trPr>
          <w:trHeight w:val="223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3B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3G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ex 3M</w:t>
            </w:r>
          </w:p>
        </w:tc>
      </w:tr>
      <w:tr>
        <w:tblPrEx>
          <w:shd w:val="clear" w:color="auto" w:fill="cadfff"/>
        </w:tblPrEx>
        <w:trPr>
          <w:trHeight w:val="439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Italiano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Morrone V.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Contavalli M.L.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Sbrighi D.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Fiuzzi M.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Beltrani R.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Ferriero A.</w:t>
            </w:r>
          </w:p>
        </w:tc>
      </w:tr>
      <w:tr>
        <w:tblPrEx>
          <w:shd w:val="clear" w:color="auto" w:fill="cadfff"/>
        </w:tblPrEx>
        <w:trPr>
          <w:trHeight w:val="439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Matematica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Giunchi R.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Visiello A.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Lami M.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Cantoni M.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Mautone G.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Mautone G.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Aguzzoni N.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Cantoni M.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39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Laboratorio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Fulminis S.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Bergamaschi M.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Fulminis S.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Bergamaschi M.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Corrieri G.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Malossi A.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Franceschini R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04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TMA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Privitera A.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Bartoletti A.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04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TEEA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Montalti P.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Cutela F.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39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TTIM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Vecci R.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Tafuri A.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Vecci R.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Tafuri A.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Fontana A.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Massarelli R.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39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TAM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Pieri S.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(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Monaco D.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204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Progettazione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Priori D.</w:t>
            </w:r>
          </w:p>
        </w:tc>
      </w:tr>
      <w:tr>
        <w:tblPrEx>
          <w:shd w:val="clear" w:color="auto" w:fill="cadfff"/>
        </w:tblPrEx>
        <w:trPr>
          <w:trHeight w:val="632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EPV designati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Zattini Daniele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danielezattini@gmail.com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Zattini Daniele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danielezattini@gmail.com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Sansoni Alessandro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 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a.sansoni@enaip.forli-cesena.it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Casarotto Franco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 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f.casarotto@enaip.forli-cesena.it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 w:line="259" w:lineRule="auto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Sara Rossi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 </w:t>
            </w:r>
          </w:p>
          <w:p>
            <w:pPr>
              <w:pStyle w:val="Corpo A"/>
              <w:bidi w:val="0"/>
              <w:spacing w:before="60" w:after="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s.rossi@enaip.forli-cesena.it</w:t>
            </w:r>
          </w:p>
        </w:tc>
      </w:tr>
    </w:tbl>
    <w:p>
      <w:pPr>
        <w:pStyle w:val="Corpo A"/>
        <w:widowControl w:val="0"/>
        <w:spacing w:before="120" w:after="1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rpo A"/>
        <w:spacing w:after="120" w:line="259" w:lineRule="auto"/>
        <w:ind w:left="5760" w:firstLine="7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rpo A"/>
        <w:spacing w:after="120" w:line="259" w:lineRule="auto"/>
        <w:ind w:left="5760" w:firstLine="720"/>
      </w:pPr>
      <w:r>
        <w:rPr>
          <w:rFonts w:ascii="Times New Roman" w:hAnsi="Times New Roman"/>
          <w:sz w:val="22"/>
          <w:szCs w:val="22"/>
          <w:rtl w:val="0"/>
          <w:lang w:val="es-ES_tradnl"/>
        </w:rPr>
        <w:t>Il Dirigente Scolastico</w:t>
      </w:r>
    </w:p>
    <w:sectPr>
      <w:headerReference w:type="default" r:id="rId4"/>
      <w:footerReference w:type="default" r:id="rId5"/>
      <w:pgSz w:w="11900" w:h="16840" w:orient="portrait"/>
      <w:pgMar w:top="737" w:right="851" w:bottom="737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