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98" w:rsidRDefault="003D2198">
      <w:pPr>
        <w:pStyle w:val="Corpo"/>
        <w:jc w:val="both"/>
      </w:pPr>
    </w:p>
    <w:p w:rsidR="003D2198" w:rsidRDefault="00DE48F6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</w:pPr>
      <w:r>
        <w:rPr>
          <w:rFonts w:ascii="Times New Roman" w:eastAsia="Calibri" w:hAnsi="Times New Roman" w:cs="Calibri"/>
          <w:color w:val="00000A"/>
          <w:sz w:val="24"/>
          <w:szCs w:val="24"/>
          <w:u w:color="00000A"/>
        </w:rPr>
        <w:t>Cesena, 21/2/2023</w:t>
      </w:r>
    </w:p>
    <w:p w:rsidR="003D2198" w:rsidRDefault="00DE48F6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</w:pPr>
      <w:r>
        <w:rPr>
          <w:rFonts w:ascii="Times New Roman" w:eastAsia="Calibri" w:hAnsi="Times New Roman" w:cs="Calibri"/>
          <w:color w:val="00000A"/>
          <w:sz w:val="24"/>
          <w:szCs w:val="24"/>
          <w:u w:color="00000A"/>
        </w:rPr>
        <w:t>Circolare 95-22</w:t>
      </w:r>
    </w:p>
    <w:p w:rsidR="003D2198" w:rsidRDefault="00DE48F6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</w:pPr>
      <w:r>
        <w:rPr>
          <w:rFonts w:ascii="Times New Roman" w:eastAsia="Calibri" w:hAnsi="Times New Roman" w:cs="Calibri"/>
          <w:color w:val="00000A"/>
          <w:sz w:val="24"/>
          <w:szCs w:val="24"/>
          <w:u w:color="00000A"/>
        </w:rPr>
        <w:t>Agli studenti di tutte le classi di entrambi i plessi</w:t>
      </w:r>
    </w:p>
    <w:p w:rsidR="003D2198" w:rsidRDefault="00DE48F6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</w:pPr>
      <w:r>
        <w:rPr>
          <w:rFonts w:ascii="Times New Roman" w:eastAsia="Calibri" w:hAnsi="Times New Roman" w:cs="Calibri"/>
          <w:color w:val="00000A"/>
          <w:sz w:val="24"/>
          <w:szCs w:val="24"/>
          <w:u w:color="00000A"/>
        </w:rPr>
        <w:t>Ai genitori</w:t>
      </w:r>
    </w:p>
    <w:p w:rsidR="003D2198" w:rsidRDefault="00DE48F6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</w:pPr>
      <w:r>
        <w:rPr>
          <w:rFonts w:ascii="Times New Roman" w:eastAsia="Calibri" w:hAnsi="Times New Roman" w:cs="Calibri"/>
          <w:color w:val="00000A"/>
          <w:sz w:val="24"/>
          <w:szCs w:val="24"/>
          <w:u w:color="00000A"/>
        </w:rPr>
        <w:t>Ai docenti</w:t>
      </w:r>
    </w:p>
    <w:p w:rsidR="003D2198" w:rsidRDefault="00DE48F6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</w:pPr>
      <w:r>
        <w:rPr>
          <w:rFonts w:ascii="Times New Roman" w:eastAsia="Calibri" w:hAnsi="Times New Roman" w:cs="Calibri"/>
          <w:color w:val="00000A"/>
          <w:sz w:val="24"/>
          <w:szCs w:val="24"/>
          <w:u w:color="00000A"/>
        </w:rPr>
        <w:t>Al personale ATA</w:t>
      </w:r>
    </w:p>
    <w:p w:rsidR="003D2198" w:rsidRDefault="003D2198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</w:pPr>
    </w:p>
    <w:p w:rsidR="003D2198" w:rsidRDefault="003D2198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</w:pPr>
    </w:p>
    <w:p w:rsidR="003D2198" w:rsidRDefault="00DE48F6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</w:pPr>
      <w:r>
        <w:rPr>
          <w:rFonts w:ascii="Times New Roman" w:eastAsia="Calibri" w:hAnsi="Times New Roman" w:cs="Calibri"/>
          <w:color w:val="00000A"/>
          <w:sz w:val="24"/>
          <w:szCs w:val="24"/>
          <w:u w:color="00000A"/>
        </w:rPr>
        <w:t>Oggetto: Avvio Progetto “Apprendisti Ciceroni” in collaborazione con la delegazione FAI (Fondo Ambiente Italiano) di Cesena (</w:t>
      </w:r>
      <w:proofErr w:type="spellStart"/>
      <w:r>
        <w:rPr>
          <w:rFonts w:ascii="Times New Roman" w:eastAsia="Calibri" w:hAnsi="Times New Roman" w:cs="Calibri"/>
          <w:color w:val="00000A"/>
          <w:sz w:val="24"/>
          <w:szCs w:val="24"/>
          <w:u w:color="00000A"/>
        </w:rPr>
        <w:t>a.s.</w:t>
      </w:r>
      <w:proofErr w:type="spellEnd"/>
      <w:r>
        <w:rPr>
          <w:rFonts w:ascii="Times New Roman" w:eastAsia="Calibri" w:hAnsi="Times New Roman" w:cs="Calibri"/>
          <w:color w:val="00000A"/>
          <w:sz w:val="24"/>
          <w:szCs w:val="24"/>
          <w:u w:color="00000A"/>
        </w:rPr>
        <w:t xml:space="preserve"> 2022-2023).</w:t>
      </w:r>
    </w:p>
    <w:p w:rsidR="003D2198" w:rsidRDefault="003D2198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</w:pPr>
    </w:p>
    <w:p w:rsidR="003D2198" w:rsidRDefault="00DE48F6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</w:pPr>
      <w:r>
        <w:rPr>
          <w:rFonts w:ascii="Times New Roman" w:eastAsia="Calibri" w:hAnsi="Times New Roman" w:cs="Calibri"/>
          <w:color w:val="00000A"/>
          <w:sz w:val="24"/>
          <w:szCs w:val="24"/>
          <w:u w:color="00000A"/>
        </w:rPr>
        <w:t xml:space="preserve">Si comunica che giovedì 2 marzo 2023, dalle ore 14.15 alle ore 15.15, si svolgerà presso la sede dell’ ITT Pascal (Aula Magna) il primo incontro di presentazione del Progetto “Apprendisti Ciceroni” coordinato dai </w:t>
      </w:r>
      <w:proofErr w:type="spellStart"/>
      <w:r>
        <w:rPr>
          <w:rFonts w:ascii="Times New Roman" w:eastAsia="Calibri" w:hAnsi="Times New Roman" w:cs="Calibri"/>
          <w:color w:val="00000A"/>
          <w:sz w:val="24"/>
          <w:szCs w:val="24"/>
          <w:u w:color="00000A"/>
        </w:rPr>
        <w:t>proff</w:t>
      </w:r>
      <w:proofErr w:type="spellEnd"/>
      <w:r>
        <w:rPr>
          <w:rFonts w:ascii="Times New Roman" w:eastAsia="Calibri" w:hAnsi="Times New Roman" w:cs="Calibri"/>
          <w:color w:val="00000A"/>
          <w:sz w:val="24"/>
          <w:szCs w:val="24"/>
          <w:u w:color="00000A"/>
        </w:rPr>
        <w:t xml:space="preserve">. Elisa Venturi, Tiberio </w:t>
      </w:r>
      <w:proofErr w:type="spellStart"/>
      <w:r>
        <w:rPr>
          <w:rFonts w:ascii="Times New Roman" w:eastAsia="Calibri" w:hAnsi="Times New Roman" w:cs="Calibri"/>
          <w:color w:val="00000A"/>
          <w:sz w:val="24"/>
          <w:szCs w:val="24"/>
          <w:u w:color="00000A"/>
        </w:rPr>
        <w:t>Tonetti</w:t>
      </w:r>
      <w:proofErr w:type="spellEnd"/>
      <w:r>
        <w:rPr>
          <w:rFonts w:ascii="Times New Roman" w:eastAsia="Calibri" w:hAnsi="Times New Roman" w:cs="Calibri"/>
          <w:color w:val="00000A"/>
          <w:sz w:val="24"/>
          <w:szCs w:val="24"/>
          <w:u w:color="00000A"/>
        </w:rPr>
        <w:t xml:space="preserve"> e dai responsabili della delegazione del FAI di Cesena. Sono invitati i docenti interessati a collaborare e gli studenti di entrambi i plessi che intendono partecipare al progetto o che siano semplicemente interessati a conoscere l’attività. Si prega di inviare la propria adesione dandone tempestiva comunicazione</w:t>
      </w:r>
      <w:r w:rsidR="00A67A88">
        <w:rPr>
          <w:rFonts w:ascii="Times New Roman" w:eastAsia="Calibri" w:hAnsi="Times New Roman" w:cs="Calibri"/>
          <w:color w:val="00000A"/>
          <w:sz w:val="24"/>
          <w:szCs w:val="24"/>
          <w:u w:color="00000A"/>
        </w:rPr>
        <w:t xml:space="preserve"> </w:t>
      </w:r>
      <w:r>
        <w:rPr>
          <w:rFonts w:ascii="Times New Roman" w:eastAsia="Calibri" w:hAnsi="Times New Roman" w:cs="Calibri"/>
          <w:color w:val="00000A"/>
          <w:sz w:val="24"/>
          <w:szCs w:val="24"/>
          <w:u w:color="00000A"/>
        </w:rPr>
        <w:t>alla sottoscritta</w:t>
      </w:r>
      <w:r w:rsidR="00A67A88">
        <w:rPr>
          <w:rFonts w:ascii="Times New Roman" w:eastAsia="Calibri" w:hAnsi="Times New Roman" w:cs="Calibri"/>
          <w:color w:val="00000A"/>
          <w:sz w:val="24"/>
          <w:szCs w:val="24"/>
          <w:u w:color="00000A"/>
        </w:rPr>
        <w:t xml:space="preserve"> </w:t>
      </w:r>
      <w:r>
        <w:rPr>
          <w:rFonts w:ascii="Times New Roman" w:eastAsia="Calibri" w:hAnsi="Times New Roman" w:cs="Calibri"/>
          <w:color w:val="00000A"/>
          <w:sz w:val="24"/>
          <w:szCs w:val="24"/>
          <w:u w:color="00000A"/>
        </w:rPr>
        <w:t xml:space="preserve">o al Prof. </w:t>
      </w:r>
      <w:proofErr w:type="spellStart"/>
      <w:r>
        <w:rPr>
          <w:rFonts w:ascii="Times New Roman" w:eastAsia="Calibri" w:hAnsi="Times New Roman" w:cs="Calibri"/>
          <w:color w:val="00000A"/>
          <w:sz w:val="24"/>
          <w:szCs w:val="24"/>
          <w:u w:color="00000A"/>
        </w:rPr>
        <w:t>Tonetti</w:t>
      </w:r>
      <w:proofErr w:type="spellEnd"/>
      <w:r>
        <w:rPr>
          <w:rFonts w:ascii="Times New Roman" w:eastAsia="Calibri" w:hAnsi="Times New Roman" w:cs="Calibri"/>
          <w:color w:val="00000A"/>
          <w:sz w:val="24"/>
          <w:szCs w:val="24"/>
          <w:u w:color="00000A"/>
        </w:rPr>
        <w:t xml:space="preserve"> attraverso </w:t>
      </w:r>
      <w:proofErr w:type="spellStart"/>
      <w:r>
        <w:rPr>
          <w:rFonts w:ascii="Times New Roman" w:eastAsia="Calibri" w:hAnsi="Times New Roman" w:cs="Calibri"/>
          <w:color w:val="00000A"/>
          <w:sz w:val="24"/>
          <w:szCs w:val="24"/>
          <w:u w:color="00000A"/>
        </w:rPr>
        <w:t>lee-mail</w:t>
      </w:r>
      <w:proofErr w:type="spellEnd"/>
      <w:r>
        <w:rPr>
          <w:rFonts w:ascii="Times New Roman" w:eastAsia="Calibri" w:hAnsi="Times New Roman" w:cs="Calibri"/>
          <w:color w:val="00000A"/>
          <w:sz w:val="24"/>
          <w:szCs w:val="24"/>
          <w:u w:color="00000A"/>
        </w:rPr>
        <w:t xml:space="preserve"> istituzionali:</w:t>
      </w:r>
    </w:p>
    <w:p w:rsidR="003D2198" w:rsidRDefault="00DE48F6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</w:pPr>
      <w:r>
        <w:rPr>
          <w:rFonts w:ascii="Times New Roman" w:eastAsia="Calibri" w:hAnsi="Times New Roman" w:cs="Calibri"/>
          <w:color w:val="00000A"/>
          <w:sz w:val="24"/>
          <w:szCs w:val="24"/>
          <w:u w:color="00000A"/>
        </w:rPr>
        <w:t>elisa.venturi@ispascalcomandini.it</w:t>
      </w:r>
    </w:p>
    <w:p w:rsidR="003D2198" w:rsidRDefault="00DE48F6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</w:pPr>
      <w:r>
        <w:rPr>
          <w:rFonts w:ascii="Times New Roman" w:eastAsia="Calibri" w:hAnsi="Times New Roman" w:cs="Calibri"/>
          <w:color w:val="00000A"/>
          <w:sz w:val="24"/>
          <w:szCs w:val="24"/>
          <w:u w:color="00000A"/>
        </w:rPr>
        <w:t>tiberio.tonetti@ispascalcomandini.it.</w:t>
      </w:r>
    </w:p>
    <w:p w:rsidR="003D2198" w:rsidRDefault="00DE48F6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</w:pPr>
      <w:r>
        <w:rPr>
          <w:rFonts w:ascii="Times New Roman" w:eastAsia="Calibri" w:hAnsi="Times New Roman" w:cs="Calibri"/>
          <w:color w:val="00000A"/>
          <w:sz w:val="24"/>
          <w:szCs w:val="24"/>
          <w:u w:color="00000A"/>
        </w:rPr>
        <w:t>Sarà poi fissato un</w:t>
      </w:r>
      <w:r w:rsidR="00547EE6" w:rsidRPr="00547EE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7pt;margin-top:42pt;width:471.2pt;height:198.6pt;z-index:251659264;visibility:visible;mso-wrap-distance-left:12pt;mso-wrap-distance-top:12pt;mso-wrap-distance-right:12pt;mso-wrap-distance-bottom:12pt;mso-position-horizontal:absolute;mso-position-horizontal-relative:page;mso-position-vertical:absolute;mso-position-vertical-relative:page" filled="f" stroked="f" strokeweight=".8pt">
            <v:stroke joinstyle="round"/>
            <v:textbox>
              <w:txbxContent>
                <w:tbl>
                  <w:tblPr>
                    <w:tblStyle w:val="TableNormal"/>
                    <w:tblW w:w="9854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shd w:val="clear" w:color="auto" w:fill="CED7E7"/>
                    <w:tblLayout w:type="fixed"/>
                    <w:tblLook w:val="04A0"/>
                  </w:tblPr>
                  <w:tblGrid>
                    <w:gridCol w:w="3477"/>
                    <w:gridCol w:w="3037"/>
                    <w:gridCol w:w="3340"/>
                  </w:tblGrid>
                  <w:tr w:rsidR="003D2198">
                    <w:trPr>
                      <w:trHeight w:val="3871"/>
                    </w:trPr>
                    <w:tc>
                      <w:tcPr>
                        <w:tcW w:w="3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left w:w="656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3D2198" w:rsidRDefault="00DE48F6">
                        <w:pPr>
                          <w:pStyle w:val="Default"/>
                          <w:keepNext/>
                          <w:tabs>
                            <w:tab w:val="left" w:pos="576"/>
                            <w:tab w:val="left" w:pos="708"/>
                            <w:tab w:val="left" w:pos="1416"/>
                            <w:tab w:val="left" w:pos="2124"/>
                            <w:tab w:val="left" w:pos="2832"/>
                          </w:tabs>
                          <w:suppressAutoHyphens/>
                          <w:spacing w:before="240" w:after="60"/>
                          <w:ind w:left="576" w:hanging="576"/>
                          <w:jc w:val="center"/>
                          <w:outlineLvl w:val="1"/>
                        </w:pPr>
                        <w:r>
                          <w:rPr>
                            <w:rStyle w:val="Nessuno"/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noProof/>
                            <w:sz w:val="24"/>
                            <w:szCs w:val="24"/>
                            <w:u w:color="000000"/>
                          </w:rPr>
                          <w:drawing>
                            <wp:inline distT="0" distB="0" distL="0" distR="0">
                              <wp:extent cx="1375112" cy="977265"/>
                              <wp:effectExtent l="0" t="0" r="0" b="0"/>
                              <wp:docPr id="1073741826" name="officeArt object" descr="Raggruppa Rettangolo Rettangolo image.jpe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73741826" name="Raggruppa Rettangolo Rettangolo image.jpeg" descr="Raggruppa Rettangolo Rettangolo image.jpeg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6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5112" cy="977265"/>
                                      </a:xfrm>
                                      <a:prstGeom prst="rect">
                                        <a:avLst/>
                                      </a:prstGeom>
                                      <a:effec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D2198" w:rsidRDefault="003D2198">
                        <w:pPr>
                          <w:pStyle w:val="Default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</w:tabs>
                          <w:suppressAutoHyphens/>
                          <w:spacing w:before="120"/>
                          <w:jc w:val="center"/>
                          <w:rPr>
                            <w:rStyle w:val="Nessuno"/>
                            <w:rFonts w:ascii="Arial" w:eastAsia="Arial" w:hAnsi="Arial" w:cs="Arial"/>
                            <w:b/>
                            <w:bCs/>
                            <w:sz w:val="25"/>
                            <w:szCs w:val="25"/>
                            <w:u w:color="000000"/>
                          </w:rPr>
                        </w:pPr>
                      </w:p>
                      <w:p w:rsidR="003D2198" w:rsidRDefault="003D2198">
                        <w:pPr>
                          <w:pStyle w:val="Default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</w:tabs>
                          <w:suppressAutoHyphens/>
                          <w:spacing w:before="120"/>
                          <w:jc w:val="center"/>
                          <w:rPr>
                            <w:rStyle w:val="Nessuno"/>
                            <w:rFonts w:ascii="Arial" w:eastAsia="Arial" w:hAnsi="Arial" w:cs="Arial"/>
                            <w:b/>
                            <w:bCs/>
                            <w:sz w:val="25"/>
                            <w:szCs w:val="25"/>
                            <w:u w:color="000000"/>
                          </w:rPr>
                        </w:pPr>
                      </w:p>
                      <w:p w:rsidR="003D2198" w:rsidRDefault="00DE48F6">
                        <w:pPr>
                          <w:pStyle w:val="Default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</w:tabs>
                          <w:suppressAutoHyphens/>
                          <w:spacing w:before="120"/>
                          <w:jc w:val="center"/>
                          <w:rPr>
                            <w:rStyle w:val="Nessuno"/>
                            <w:rFonts w:ascii="Times New Roman" w:eastAsia="Times New Roman" w:hAnsi="Times New Roman" w:cs="Times New Roman"/>
                            <w:sz w:val="24"/>
                            <w:szCs w:val="24"/>
                            <w:u w:color="000000"/>
                          </w:rPr>
                        </w:pPr>
                        <w:r>
                          <w:rPr>
                            <w:rStyle w:val="Nessuno"/>
                            <w:rFonts w:ascii="Arial" w:hAnsi="Arial"/>
                            <w:b/>
                            <w:bCs/>
                            <w:sz w:val="25"/>
                            <w:szCs w:val="25"/>
                            <w:u w:color="000000"/>
                          </w:rPr>
                          <w:t xml:space="preserve">ISTITUTO Superiore </w:t>
                        </w:r>
                        <w:r>
                          <w:rPr>
                            <w:rStyle w:val="Nessuno"/>
                            <w:rFonts w:ascii="Arial" w:eastAsia="Arial" w:hAnsi="Arial" w:cs="Arial"/>
                            <w:b/>
                            <w:bCs/>
                            <w:sz w:val="25"/>
                            <w:szCs w:val="25"/>
                            <w:u w:color="000000"/>
                          </w:rPr>
                          <w:br/>
                        </w:r>
                        <w:r>
                          <w:rPr>
                            <w:rStyle w:val="Nessuno"/>
                            <w:rFonts w:ascii="Arial" w:hAnsi="Arial"/>
                            <w:b/>
                            <w:bCs/>
                            <w:sz w:val="25"/>
                            <w:szCs w:val="25"/>
                            <w:u w:color="000000"/>
                          </w:rPr>
                          <w:t>Pascal/</w:t>
                        </w:r>
                        <w:proofErr w:type="spellStart"/>
                        <w:r>
                          <w:rPr>
                            <w:rStyle w:val="Nessuno"/>
                            <w:rFonts w:ascii="Arial" w:hAnsi="Arial"/>
                            <w:b/>
                            <w:bCs/>
                            <w:sz w:val="25"/>
                            <w:szCs w:val="25"/>
                            <w:u w:color="000000"/>
                          </w:rPr>
                          <w:t>Comandini</w:t>
                        </w:r>
                        <w:proofErr w:type="spellEnd"/>
                      </w:p>
                      <w:p w:rsidR="003D2198" w:rsidRDefault="00DE48F6">
                        <w:pPr>
                          <w:pStyle w:val="Default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</w:tabs>
                          <w:suppressAutoHyphens/>
                          <w:spacing w:before="120"/>
                          <w:jc w:val="center"/>
                          <w:rPr>
                            <w:rStyle w:val="Nessuno"/>
                            <w:rFonts w:ascii="Times New Roman" w:eastAsia="Times New Roman" w:hAnsi="Times New Roman" w:cs="Times New Roman"/>
                            <w:u w:color="000000"/>
                          </w:rPr>
                        </w:pPr>
                        <w:r>
                          <w:rPr>
                            <w:rStyle w:val="Nessuno"/>
                            <w:rFonts w:ascii="Times New Roman" w:hAnsi="Times New Roman"/>
                            <w:u w:color="000000"/>
                          </w:rPr>
                          <w:t xml:space="preserve">P.le </w:t>
                        </w:r>
                        <w:proofErr w:type="spellStart"/>
                        <w:r>
                          <w:rPr>
                            <w:rStyle w:val="Nessuno"/>
                            <w:rFonts w:ascii="Times New Roman" w:hAnsi="Times New Roman"/>
                            <w:u w:color="000000"/>
                          </w:rPr>
                          <w:t>Macrelli</w:t>
                        </w:r>
                        <w:proofErr w:type="spellEnd"/>
                        <w:r>
                          <w:rPr>
                            <w:rStyle w:val="Nessuno"/>
                            <w:rFonts w:ascii="Times New Roman" w:hAnsi="Times New Roman"/>
                            <w:u w:color="000000"/>
                          </w:rPr>
                          <w:t xml:space="preserve">, 100 </w:t>
                        </w:r>
                        <w:r>
                          <w:rPr>
                            <w:rStyle w:val="Nessuno"/>
                            <w:rFonts w:ascii="Times New Roman" w:eastAsia="Times New Roman" w:hAnsi="Times New Roman" w:cs="Times New Roman"/>
                            <w:u w:color="000000"/>
                          </w:rPr>
                          <w:br/>
                        </w:r>
                        <w:r>
                          <w:rPr>
                            <w:rStyle w:val="Nessuno"/>
                            <w:rFonts w:ascii="Times New Roman" w:hAnsi="Times New Roman"/>
                            <w:u w:color="000000"/>
                          </w:rPr>
                          <w:t xml:space="preserve">47521 Cesena </w:t>
                        </w:r>
                        <w:r>
                          <w:rPr>
                            <w:rStyle w:val="Nessuno"/>
                            <w:rFonts w:ascii="Times New Roman" w:eastAsia="Times New Roman" w:hAnsi="Times New Roman" w:cs="Times New Roman"/>
                            <w:u w:color="000000"/>
                          </w:rPr>
                          <w:br/>
                        </w:r>
                        <w:r>
                          <w:rPr>
                            <w:rStyle w:val="Nessuno"/>
                            <w:rFonts w:ascii="Times New Roman" w:hAnsi="Times New Roman"/>
                            <w:u w:color="000000"/>
                          </w:rPr>
                          <w:t xml:space="preserve">Tel. +39 054722792 </w:t>
                        </w:r>
                        <w:r>
                          <w:rPr>
                            <w:rStyle w:val="Nessuno"/>
                            <w:rFonts w:ascii="Times New Roman" w:eastAsia="Times New Roman" w:hAnsi="Times New Roman" w:cs="Times New Roman"/>
                            <w:u w:color="000000"/>
                          </w:rPr>
                          <w:br/>
                        </w:r>
                        <w:proofErr w:type="spellStart"/>
                        <w:r>
                          <w:rPr>
                            <w:rStyle w:val="Nessuno"/>
                            <w:rFonts w:ascii="Times New Roman" w:hAnsi="Times New Roman"/>
                            <w:u w:color="000000"/>
                          </w:rPr>
                          <w:t>Cod.fisc.</w:t>
                        </w:r>
                        <w:proofErr w:type="spellEnd"/>
                        <w:r>
                          <w:rPr>
                            <w:rStyle w:val="Nessuno"/>
                            <w:rFonts w:ascii="Times New Roman" w:hAnsi="Times New Roman"/>
                            <w:u w:color="000000"/>
                          </w:rPr>
                          <w:t xml:space="preserve"> 90076540401 - </w:t>
                        </w:r>
                        <w:proofErr w:type="spellStart"/>
                        <w:r>
                          <w:rPr>
                            <w:rStyle w:val="Nessuno"/>
                            <w:rFonts w:ascii="Times New Roman" w:hAnsi="Times New Roman"/>
                            <w:u w:color="000000"/>
                          </w:rPr>
                          <w:t>Cod.Mecc.</w:t>
                        </w:r>
                        <w:proofErr w:type="spellEnd"/>
                        <w:r>
                          <w:rPr>
                            <w:rStyle w:val="Nessuno"/>
                            <w:rFonts w:ascii="Times New Roman" w:hAnsi="Times New Roman"/>
                            <w:u w:color="000000"/>
                          </w:rPr>
                          <w:t xml:space="preserve"> FOIS01100L</w:t>
                        </w:r>
                        <w:r>
                          <w:rPr>
                            <w:rStyle w:val="Nessuno"/>
                            <w:rFonts w:ascii="Times New Roman" w:eastAsia="Times New Roman" w:hAnsi="Times New Roman" w:cs="Times New Roman"/>
                            <w:u w:color="000000"/>
                          </w:rPr>
                          <w:br/>
                        </w:r>
                        <w:hyperlink r:id="rId7" w:history="1">
                          <w:r>
                            <w:rPr>
                              <w:rStyle w:val="Hyperlink1"/>
                              <w:rFonts w:eastAsia="Arial Unicode MS"/>
                            </w:rPr>
                            <w:t>FOIS01100L@istruzione.it</w:t>
                          </w:r>
                        </w:hyperlink>
                      </w:p>
                      <w:p w:rsidR="003D2198" w:rsidRDefault="00547EE6">
                        <w:pPr>
                          <w:pStyle w:val="Default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</w:tabs>
                          <w:suppressAutoHyphens/>
                          <w:spacing w:before="120"/>
                          <w:jc w:val="center"/>
                          <w:rPr>
                            <w:rStyle w:val="Nessuno"/>
                            <w:rFonts w:ascii="Times New Roman" w:eastAsia="Times New Roman" w:hAnsi="Times New Roman" w:cs="Times New Roman"/>
                            <w:u w:color="000000"/>
                          </w:rPr>
                        </w:pPr>
                        <w:hyperlink r:id="rId8" w:history="1">
                          <w:r w:rsidR="00DE48F6">
                            <w:rPr>
                              <w:rStyle w:val="Hyperlink1"/>
                              <w:rFonts w:eastAsia="Arial Unicode MS"/>
                            </w:rPr>
                            <w:t>FOIS01100L@pec.istruzione.it</w:t>
                          </w:r>
                        </w:hyperlink>
                      </w:p>
                      <w:p w:rsidR="003D2198" w:rsidRDefault="00DE48F6">
                        <w:pPr>
                          <w:pStyle w:val="Default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</w:tabs>
                          <w:suppressAutoHyphens/>
                          <w:spacing w:before="120"/>
                          <w:jc w:val="center"/>
                        </w:pPr>
                        <w:r>
                          <w:rPr>
                            <w:rStyle w:val="Nessuno"/>
                            <w:rFonts w:ascii="Times New Roman" w:eastAsia="Times New Roman" w:hAnsi="Times New Roman" w:cs="Times New Roman"/>
                            <w:u w:color="000000"/>
                          </w:rPr>
                          <w:br/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bottom w:w="80" w:type="dxa"/>
                          <w:right w:w="80" w:type="dxa"/>
                        </w:tcMar>
                      </w:tcPr>
                      <w:p w:rsidR="003D2198" w:rsidRDefault="003D2198">
                        <w:pPr>
                          <w:pStyle w:val="Default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</w:tabs>
                          <w:suppressAutoHyphens/>
                          <w:spacing w:before="120"/>
                          <w:jc w:val="center"/>
                          <w:rPr>
                            <w:rStyle w:val="Nessuno"/>
                            <w:rFonts w:ascii="Times New Roman" w:eastAsia="Times New Roman" w:hAnsi="Times New Roman" w:cs="Times New Roman"/>
                            <w:sz w:val="24"/>
                            <w:szCs w:val="24"/>
                            <w:u w:color="000000"/>
                          </w:rPr>
                        </w:pPr>
                      </w:p>
                      <w:p w:rsidR="003D2198" w:rsidRDefault="003D2198">
                        <w:pPr>
                          <w:pStyle w:val="Default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</w:tabs>
                          <w:suppressAutoHyphens/>
                          <w:spacing w:before="120"/>
                          <w:jc w:val="center"/>
                          <w:rPr>
                            <w:rStyle w:val="Nessuno"/>
                            <w:rFonts w:ascii="Times New Roman" w:eastAsia="Times New Roman" w:hAnsi="Times New Roman" w:cs="Times New Roman"/>
                            <w:sz w:val="24"/>
                            <w:szCs w:val="24"/>
                            <w:u w:color="000000"/>
                          </w:rPr>
                        </w:pPr>
                      </w:p>
                      <w:p w:rsidR="003D2198" w:rsidRDefault="003D2198">
                        <w:pPr>
                          <w:pStyle w:val="Default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</w:tabs>
                          <w:suppressAutoHyphens/>
                          <w:spacing w:before="120"/>
                          <w:jc w:val="center"/>
                          <w:rPr>
                            <w:rStyle w:val="Nessuno"/>
                            <w:rFonts w:ascii="Times New Roman" w:eastAsia="Times New Roman" w:hAnsi="Times New Roman" w:cs="Times New Roman"/>
                            <w:sz w:val="24"/>
                            <w:szCs w:val="24"/>
                            <w:u w:color="000000"/>
                          </w:rPr>
                        </w:pPr>
                      </w:p>
                      <w:p w:rsidR="003D2198" w:rsidRDefault="00DE48F6">
                        <w:pPr>
                          <w:pStyle w:val="Default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</w:tabs>
                          <w:suppressAutoHyphens/>
                          <w:spacing w:before="120"/>
                          <w:jc w:val="center"/>
                        </w:pPr>
                        <w:r>
                          <w:rPr>
                            <w:rStyle w:val="Nessuno"/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u w:color="000000"/>
                          </w:rPr>
                          <w:drawing>
                            <wp:inline distT="0" distB="0" distL="0" distR="0">
                              <wp:extent cx="1586129" cy="900431"/>
                              <wp:effectExtent l="0" t="0" r="0" b="0"/>
                              <wp:docPr id="1073741827" name="officeArt object" descr="Raggruppa Rettangolo Rettangolo image.jpe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73741827" name="Raggruppa Rettangolo Rettangolo image.jpeg" descr="Raggruppa Rettangolo Rettangolo image.jpeg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9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86129" cy="900431"/>
                                      </a:xfrm>
                                      <a:prstGeom prst="rect">
                                        <a:avLst/>
                                      </a:prstGeom>
                                      <a:effec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D2198" w:rsidRDefault="003D2198"/>
              </w:txbxContent>
            </v:textbox>
            <w10:wrap type="topAndBottom" anchorx="page" anchory="page"/>
          </v:shape>
        </w:pict>
      </w:r>
      <w:r>
        <w:rPr>
          <w:rFonts w:ascii="Times New Roman" w:eastAsia="Calibri" w:hAnsi="Times New Roman" w:cs="Calibri"/>
          <w:color w:val="00000A"/>
          <w:sz w:val="24"/>
          <w:szCs w:val="24"/>
          <w:u w:color="00000A"/>
        </w:rPr>
        <w:t xml:space="preserve"> calendario per i successivi incontri che si svolgeranno sia in orario mattutino che pomeridiano. La prima uscita di sopralluogo, di cui spiegheremo poi l’organizzazione, si terrà nel pomeriggio del 6 marzo.</w:t>
      </w:r>
    </w:p>
    <w:p w:rsidR="003D2198" w:rsidRDefault="00DE48F6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</w:pPr>
      <w:r>
        <w:rPr>
          <w:rFonts w:ascii="Times New Roman" w:eastAsia="Calibri" w:hAnsi="Times New Roman" w:cs="Calibri"/>
          <w:color w:val="00000A"/>
          <w:sz w:val="24"/>
          <w:szCs w:val="24"/>
          <w:u w:color="00000A"/>
        </w:rPr>
        <w:t>L’attività si concluderà, poi, con la partecipazione alle “Giornate FAI di Primavera” che si svolgeranno sabato 25 e domenica 26 marzo 2023.</w:t>
      </w:r>
    </w:p>
    <w:p w:rsidR="003D2198" w:rsidRDefault="00DE48F6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</w:pPr>
      <w:r>
        <w:rPr>
          <w:rFonts w:ascii="Times New Roman" w:eastAsia="Calibri" w:hAnsi="Times New Roman" w:cs="Calibri"/>
          <w:color w:val="00000A"/>
          <w:sz w:val="24"/>
          <w:szCs w:val="24"/>
          <w:u w:color="00000A"/>
        </w:rPr>
        <w:t xml:space="preserve">Il progetto di quest’anno sarà diverso da quello precedente, il nostro istituto si occuperà di un  museo molto interessante ma poco noto del territorio. </w:t>
      </w:r>
    </w:p>
    <w:p w:rsidR="003D2198" w:rsidRDefault="003D2198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A"/>
        </w:rPr>
      </w:pPr>
    </w:p>
    <w:p w:rsidR="003D2198" w:rsidRDefault="00DE48F6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Apprendisti Ciceroni è un progetto di formazione nato nel 1996 e cresciuto negli anni, fino ad arrivare a coinvolgere oltre 40.000 studenti ogni anno.</w:t>
      </w:r>
    </w:p>
    <w:p w:rsidR="003D2198" w:rsidRDefault="00DE48F6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Grazie alla collaborazione delle Delegazioni e dei </w:t>
      </w:r>
      <w:hyperlink r:id="rId10" w:history="1">
        <w:r>
          <w:rPr>
            <w:rStyle w:val="Hyperlink0"/>
            <w:rFonts w:ascii="Times New Roman" w:hAnsi="Times New Roman"/>
            <w:sz w:val="24"/>
            <w:szCs w:val="24"/>
            <w:lang w:val="de-DE"/>
          </w:rPr>
          <w:t>Beni FAI</w:t>
        </w:r>
      </w:hyperlink>
      <w:r>
        <w:rPr>
          <w:rFonts w:ascii="Times New Roman" w:hAnsi="Times New Roman"/>
          <w:sz w:val="24"/>
          <w:szCs w:val="24"/>
        </w:rPr>
        <w:t>, i ragazzi hanno l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occasione di accompagnare il pubblico alla scoperta del patrimonio di arte e natura del proprio territorio e di sentirsi direttamente coinvolti nella vita sociale, culturale ed economica della comunità, diventando esempio per altri giovani in uno scambio educativo tra pari.</w:t>
      </w:r>
    </w:p>
    <w:p w:rsidR="003D2198" w:rsidRDefault="00DE48F6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L'impegno degli Apprendisti Ciceroni è certificato dal FAI con un attestato di partecipazione e la tessera come socio per l’anno scolastico in corso. Gli studenti della scuola secondaria di II grado possono far valere la propria partecipazione ai fini </w:t>
      </w:r>
      <w:proofErr w:type="spellStart"/>
      <w:r>
        <w:rPr>
          <w:rFonts w:ascii="Times New Roman" w:hAnsi="Times New Roman"/>
          <w:sz w:val="24"/>
          <w:szCs w:val="24"/>
        </w:rPr>
        <w:t>dell</w:t>
      </w:r>
      <w:proofErr w:type="spellEnd"/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acquisizione di crediti scolastici.</w:t>
      </w:r>
    </w:p>
    <w:p w:rsidR="003D2198" w:rsidRDefault="00DE48F6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La formazione degli studenti, in linea con il Piano </w:t>
      </w:r>
      <w:proofErr w:type="spellStart"/>
      <w:r>
        <w:rPr>
          <w:rFonts w:ascii="Times New Roman" w:hAnsi="Times New Roman"/>
          <w:sz w:val="24"/>
          <w:szCs w:val="24"/>
        </w:rPr>
        <w:t>dell</w:t>
      </w:r>
      <w:proofErr w:type="spellEnd"/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Offerta Formativa (POF), è pensata come una esperienza continua durante tutto l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anno scolastico, che concretamente vede la loro partecipazione sul campo presso beni culturali e istituzioni museali pubbliche o private, in occasione di eventi organizzati dal territorio e nei principali eventi nazionali FAI: le Giornate FAI di Primavera e di Autunno e le Mattinate FAI d'Inverno.</w:t>
      </w:r>
    </w:p>
    <w:p w:rsidR="003D2198" w:rsidRDefault="003D2198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198" w:rsidRDefault="003D2198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Style w:val="Nessuno"/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</w:pPr>
    </w:p>
    <w:p w:rsidR="003D2198" w:rsidRDefault="003D2198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Style w:val="Nessuno"/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</w:pPr>
    </w:p>
    <w:p w:rsidR="003D2198" w:rsidRDefault="00DE48F6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Style w:val="Nessuno"/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</w:pPr>
      <w:r>
        <w:rPr>
          <w:rStyle w:val="Nessuno"/>
          <w:rFonts w:ascii="Times New Roman" w:eastAsia="Calibri" w:hAnsi="Times New Roman" w:cs="Calibri"/>
          <w:color w:val="00000A"/>
          <w:sz w:val="24"/>
          <w:szCs w:val="24"/>
          <w:u w:color="00000A"/>
        </w:rPr>
        <w:t>La referente del Progetto</w:t>
      </w:r>
    </w:p>
    <w:p w:rsidR="003D2198" w:rsidRDefault="00DE48F6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Style w:val="Nessuno"/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</w:pPr>
      <w:r>
        <w:rPr>
          <w:rStyle w:val="Nessuno"/>
          <w:rFonts w:ascii="Times New Roman" w:eastAsia="Calibri" w:hAnsi="Times New Roman" w:cs="Calibri"/>
          <w:color w:val="00000A"/>
          <w:sz w:val="24"/>
          <w:szCs w:val="24"/>
          <w:u w:color="00000A"/>
        </w:rPr>
        <w:t>Prof.ssa</w:t>
      </w:r>
      <w:r w:rsidR="00A67A88">
        <w:rPr>
          <w:rStyle w:val="Nessuno"/>
          <w:rFonts w:ascii="Times New Roman" w:eastAsia="Calibri" w:hAnsi="Times New Roman" w:cs="Calibri"/>
          <w:color w:val="00000A"/>
          <w:sz w:val="24"/>
          <w:szCs w:val="24"/>
          <w:u w:color="00000A"/>
        </w:rPr>
        <w:t xml:space="preserve"> </w:t>
      </w:r>
      <w:r>
        <w:rPr>
          <w:rStyle w:val="Nessuno"/>
          <w:rFonts w:ascii="Times New Roman" w:eastAsia="Calibri" w:hAnsi="Times New Roman" w:cs="Calibri"/>
          <w:color w:val="00000A"/>
          <w:sz w:val="24"/>
          <w:szCs w:val="24"/>
          <w:u w:color="00000A"/>
        </w:rPr>
        <w:t>Elisa Venturi</w:t>
      </w:r>
    </w:p>
    <w:p w:rsidR="003D2198" w:rsidRDefault="003D2198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Style w:val="Nessuno"/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</w:pPr>
    </w:p>
    <w:p w:rsidR="003D2198" w:rsidRDefault="00DE48F6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Style w:val="Nessuno"/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</w:pPr>
      <w:r>
        <w:rPr>
          <w:rStyle w:val="Nessuno"/>
          <w:rFonts w:ascii="Times New Roman" w:eastAsia="Calibri" w:hAnsi="Times New Roman" w:cs="Calibri"/>
          <w:color w:val="00000A"/>
          <w:sz w:val="24"/>
          <w:szCs w:val="24"/>
          <w:u w:color="00000A"/>
        </w:rPr>
        <w:t>Il DS</w:t>
      </w:r>
    </w:p>
    <w:p w:rsidR="003D2198" w:rsidRDefault="00DE48F6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>
        <w:rPr>
          <w:rStyle w:val="Nessuno"/>
          <w:rFonts w:ascii="Times New Roman" w:eastAsia="Calibri" w:hAnsi="Times New Roman" w:cs="Calibri"/>
          <w:color w:val="00000A"/>
          <w:sz w:val="24"/>
          <w:szCs w:val="24"/>
          <w:u w:color="00000A"/>
        </w:rPr>
        <w:t>Prof. Francesco Postiglione</w:t>
      </w:r>
    </w:p>
    <w:sectPr w:rsidR="003D2198" w:rsidSect="003D2198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198" w:rsidRDefault="003D2198" w:rsidP="003D2198">
      <w:r>
        <w:separator/>
      </w:r>
    </w:p>
  </w:endnote>
  <w:endnote w:type="continuationSeparator" w:id="1">
    <w:p w:rsidR="003D2198" w:rsidRDefault="003D2198" w:rsidP="003D2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98" w:rsidRDefault="003D21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198" w:rsidRDefault="003D2198" w:rsidP="003D2198">
      <w:r>
        <w:separator/>
      </w:r>
    </w:p>
  </w:footnote>
  <w:footnote w:type="continuationSeparator" w:id="1">
    <w:p w:rsidR="003D2198" w:rsidRDefault="003D2198" w:rsidP="003D2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98" w:rsidRDefault="003D219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isplayBackgroundShape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2198"/>
    <w:rsid w:val="003D2198"/>
    <w:rsid w:val="00547EE6"/>
    <w:rsid w:val="00A67A88"/>
    <w:rsid w:val="00D5170A"/>
    <w:rsid w:val="00DE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D2198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D2198"/>
    <w:rPr>
      <w:u w:val="single"/>
    </w:rPr>
  </w:style>
  <w:style w:type="table" w:customStyle="1" w:styleId="TableNormal">
    <w:name w:val="Table Normal"/>
    <w:rsid w:val="003D21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D2198"/>
    <w:rPr>
      <w:rFonts w:ascii="Helvetica Neue" w:hAnsi="Helvetica Neue" w:cs="Arial Unicode MS"/>
      <w:color w:val="000000"/>
      <w:sz w:val="22"/>
      <w:szCs w:val="22"/>
      <w:shd w:val="nil"/>
    </w:rPr>
  </w:style>
  <w:style w:type="paragraph" w:customStyle="1" w:styleId="Default">
    <w:name w:val="Default"/>
    <w:rsid w:val="003D2198"/>
    <w:rPr>
      <w:rFonts w:ascii="Helvetica Neue" w:hAnsi="Helvetica Neue" w:cs="Arial Unicode MS"/>
      <w:color w:val="000000"/>
      <w:sz w:val="22"/>
      <w:szCs w:val="22"/>
      <w:shd w:val="nil"/>
    </w:rPr>
  </w:style>
  <w:style w:type="character" w:customStyle="1" w:styleId="Nessuno">
    <w:name w:val="Nessuno"/>
    <w:rsid w:val="003D2198"/>
  </w:style>
  <w:style w:type="character" w:customStyle="1" w:styleId="Hyperlink0">
    <w:name w:val="Hyperlink.0"/>
    <w:basedOn w:val="Nessuno"/>
    <w:rsid w:val="003D2198"/>
    <w:rPr>
      <w:u w:color="E64E30"/>
    </w:rPr>
  </w:style>
  <w:style w:type="character" w:customStyle="1" w:styleId="Hyperlink1">
    <w:name w:val="Hyperlink.1"/>
    <w:basedOn w:val="Nessuno"/>
    <w:rsid w:val="003D2198"/>
    <w:rPr>
      <w:rFonts w:ascii="Times New Roman" w:eastAsia="Times New Roman" w:hAnsi="Times New Roman" w:cs="Times New Roman"/>
      <w:outline w:val="0"/>
      <w:color w:val="0000FF"/>
      <w:u w:val="single" w:color="0000FF"/>
      <w:shd w:val="nil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7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70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100L@pec.istruzione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IS01100L@istruzione.i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fondoambiente.it/luoghi/beni-fai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4</cp:revision>
  <dcterms:created xsi:type="dcterms:W3CDTF">2023-02-21T10:24:00Z</dcterms:created>
  <dcterms:modified xsi:type="dcterms:W3CDTF">2023-02-21T12:40:00Z</dcterms:modified>
</cp:coreProperties>
</file>